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593409E2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564114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61279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61279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AABCD49" w:rsidR="00BB0A89" w:rsidRDefault="00564114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輔助科技應用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FA187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E8202F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329E55E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98D6FB6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172339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172339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172339"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172339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62677424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564114">
              <w:rPr>
                <w:rFonts w:ascii="標楷體" w:eastAsia="標楷體" w:hAnsi="標楷體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6913BF94" w14:textId="116EEA9E" w:rsidR="00FC54E6" w:rsidRPr="00FC54E6" w:rsidRDefault="0049136D" w:rsidP="00FC54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使用輔具表達需求與意見、了解病童裡他人，解決溝通及互動問題。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D0499FE" w14:textId="1EFB5280" w:rsidR="00DA6B94" w:rsidRDefault="00DA6B94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特輔1-1了解所需使用輔具的功能。</w:t>
            </w:r>
          </w:p>
          <w:p w14:paraId="459592D0" w14:textId="4B504B2B" w:rsidR="00DA6B94" w:rsidRDefault="00DA6B94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特輔1-2認識所需使用輔具的構造。</w:t>
            </w:r>
          </w:p>
          <w:p w14:paraId="5E17A5E5" w14:textId="683038EC" w:rsidR="008B2DA5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特輔2-1正向看待輔具的使用。</w:t>
            </w:r>
          </w:p>
          <w:p w14:paraId="586636D9" w14:textId="77777777" w:rsidR="00385F1B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特輔2-3願意使用選擇的輔具。</w:t>
            </w:r>
          </w:p>
          <w:p w14:paraId="516C9D76" w14:textId="77777777" w:rsidR="00385F1B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特輔3-2獨立操作所使用的輔具。</w:t>
            </w:r>
          </w:p>
          <w:p w14:paraId="0907A1B5" w14:textId="07487B12" w:rsidR="00385F1B" w:rsidRPr="003B7CED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特輔4-1維護所使用的輔具。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7DD0F44E" w14:textId="0106ADB0" w:rsidR="008B2DA5" w:rsidRDefault="00385F1B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特輔B-1助聽器功能與操作。</w:t>
            </w:r>
          </w:p>
          <w:p w14:paraId="684D709E" w14:textId="7841F5C7" w:rsidR="00385F1B" w:rsidRDefault="00385F1B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特輔B-2人工電子耳功能與操作。</w:t>
            </w:r>
          </w:p>
          <w:p w14:paraId="7F53C2CD" w14:textId="157EC005" w:rsidR="00385F1B" w:rsidRDefault="00385F1B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特輔B-3調頻系統功能與操作。</w:t>
            </w:r>
          </w:p>
          <w:p w14:paraId="72EA6B74" w14:textId="3A992E0C" w:rsidR="00385F1B" w:rsidRDefault="00385F1B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特輔B-6其他聽覺輔具功能與操作。</w:t>
            </w:r>
          </w:p>
          <w:p w14:paraId="5B349D09" w14:textId="21885EF9" w:rsidR="00385F1B" w:rsidRPr="003B7CED" w:rsidRDefault="00385F1B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特輔B-7聽覺輔具維護與簡易故障排除。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540D" w14:textId="4051B08B" w:rsidR="003B7CED" w:rsidRPr="00D01F2C" w:rsidRDefault="0049136D" w:rsidP="00D01F2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透過認識輔具(構造與功能)，選用適宜的輔具，養成正確操作輔具的習慣，並定期維護輔具，在遇簡易故障時能自行進行排除。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A6B94" w:rsidRPr="003B7CED" w14:paraId="6ADD9B2A" w14:textId="77777777" w:rsidTr="00547F7A">
        <w:trPr>
          <w:trHeight w:val="91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6AFC7E1A" w:rsidR="00DA6B94" w:rsidRPr="00A76738" w:rsidRDefault="00DA6B94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第1-10週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470EF77" w:rsidR="00DA6B94" w:rsidRPr="00A76738" w:rsidRDefault="00DA6B94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認識輔具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5850" w14:textId="1B8F610C" w:rsidR="00DA6B94" w:rsidRDefault="00DA6B9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 w:rsidR="00F84B6F">
              <w:rPr>
                <w:rFonts w:ascii="標楷體" w:eastAsia="標楷體" w:hAnsi="標楷體" w:hint="eastAsia"/>
              </w:rPr>
              <w:t>助聽器；</w:t>
            </w:r>
            <w:r>
              <w:rPr>
                <w:rFonts w:ascii="標楷體" w:eastAsia="標楷體" w:hAnsi="標楷體" w:hint="eastAsia"/>
              </w:rPr>
              <w:t>電子</w:t>
            </w:r>
            <w:r w:rsidR="00F84B6F">
              <w:rPr>
                <w:rFonts w:ascii="標楷體" w:eastAsia="標楷體" w:hAnsi="標楷體" w:hint="eastAsia"/>
              </w:rPr>
              <w:t>耳；</w:t>
            </w:r>
            <w:r>
              <w:rPr>
                <w:rFonts w:ascii="標楷體" w:eastAsia="標楷體" w:hAnsi="標楷體" w:hint="eastAsia"/>
              </w:rPr>
              <w:t>FM系</w:t>
            </w:r>
            <w:r w:rsidR="00F84B6F">
              <w:rPr>
                <w:rFonts w:ascii="標楷體" w:eastAsia="標楷體" w:hAnsi="標楷體" w:hint="eastAsia"/>
              </w:rPr>
              <w:t>統；</w:t>
            </w:r>
            <w:r>
              <w:rPr>
                <w:rFonts w:ascii="標楷體" w:eastAsia="標楷體" w:hAnsi="標楷體" w:hint="eastAsia"/>
              </w:rPr>
              <w:t>生活輔具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等</w:t>
            </w:r>
            <w:r w:rsidR="00F84B6F">
              <w:rPr>
                <w:rFonts w:ascii="標楷體" w:eastAsia="標楷體" w:hAnsi="標楷體" w:hint="eastAsia"/>
              </w:rPr>
              <w:t>；了解定期進行聽能管理的意義</w:t>
            </w:r>
            <w:r w:rsidR="00566195">
              <w:rPr>
                <w:rFonts w:ascii="標楷體" w:eastAsia="標楷體" w:hAnsi="標楷體" w:hint="eastAsia"/>
              </w:rPr>
              <w:t>、</w:t>
            </w:r>
            <w:r w:rsidR="00F84B6F">
              <w:rPr>
                <w:rFonts w:ascii="標楷體" w:eastAsia="標楷體" w:hAnsi="標楷體" w:hint="eastAsia"/>
              </w:rPr>
              <w:t>時程規劃及自身助聽輔具的適配性</w:t>
            </w:r>
            <w:r w:rsidR="00CF5EA7">
              <w:rPr>
                <w:rFonts w:ascii="標楷體" w:eastAsia="標楷體" w:hAnsi="標楷體" w:hint="eastAsia"/>
              </w:rPr>
              <w:t>；同時學生本身也要學習如何跟同儕說明自己的狀況和須避免</w:t>
            </w:r>
            <w:r w:rsidR="00841392">
              <w:rPr>
                <w:rFonts w:ascii="標楷體" w:eastAsia="標楷體" w:hAnsi="標楷體" w:hint="eastAsia"/>
              </w:rPr>
              <w:t>影響輔具使用</w:t>
            </w:r>
            <w:r w:rsidR="00CF5EA7">
              <w:rPr>
                <w:rFonts w:ascii="標楷體" w:eastAsia="標楷體" w:hAnsi="標楷體" w:hint="eastAsia"/>
              </w:rPr>
              <w:t>的危險情境。</w:t>
            </w:r>
          </w:p>
          <w:p w14:paraId="351E6A37" w14:textId="1924E75B" w:rsidR="00CF5EA7" w:rsidRPr="00A76738" w:rsidRDefault="00CF5EA7" w:rsidP="003B7CE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66782" w:rsidRPr="003B7CED" w14:paraId="79B51AFF" w14:textId="77777777" w:rsidTr="00AE5391">
        <w:trPr>
          <w:trHeight w:val="91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066782" w:rsidRPr="003B7CED" w:rsidRDefault="0006678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D149B5" w14:textId="73A8D14F" w:rsidR="00066782" w:rsidRPr="00A76738" w:rsidRDefault="00066782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第11-21週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57AD9D3F" w:rsidR="00066782" w:rsidRPr="00A76738" w:rsidRDefault="00066782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選用適宜輔具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E533" w14:textId="5AA0BB7B" w:rsidR="00066782" w:rsidRDefault="00566195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 w:rsidR="00066782">
              <w:rPr>
                <w:rFonts w:ascii="標楷體" w:eastAsia="標楷體" w:hAnsi="標楷體" w:hint="eastAsia"/>
              </w:rPr>
              <w:t>在不同情境下應如何</w:t>
            </w:r>
            <w:r w:rsidR="000D4DF0">
              <w:rPr>
                <w:rFonts w:ascii="標楷體" w:eastAsia="標楷體" w:hAnsi="標楷體" w:hint="eastAsia"/>
              </w:rPr>
              <w:t>判斷距離</w:t>
            </w:r>
            <w:r w:rsidR="00A7112F">
              <w:rPr>
                <w:rFonts w:ascii="標楷體" w:eastAsia="標楷體" w:hAnsi="標楷體" w:hint="eastAsia"/>
              </w:rPr>
              <w:t>遠近、吵雜與否，以及如何</w:t>
            </w:r>
            <w:r w:rsidR="000D4DF0">
              <w:rPr>
                <w:rFonts w:ascii="標楷體" w:eastAsia="標楷體" w:hAnsi="標楷體" w:hint="eastAsia"/>
              </w:rPr>
              <w:t>和請授課老師</w:t>
            </w:r>
            <w:r w:rsidR="00066782">
              <w:rPr>
                <w:rFonts w:ascii="標楷體" w:eastAsia="標楷體" w:hAnsi="標楷體" w:hint="eastAsia"/>
              </w:rPr>
              <w:t>使用</w:t>
            </w:r>
            <w:r w:rsidR="00A7112F">
              <w:rPr>
                <w:rFonts w:ascii="標楷體" w:eastAsia="標楷體" w:hAnsi="標楷體" w:hint="eastAsia"/>
              </w:rPr>
              <w:t>調頻輔具</w:t>
            </w:r>
            <w:r>
              <w:rPr>
                <w:rFonts w:ascii="標楷體" w:eastAsia="標楷體" w:hAnsi="標楷體" w:hint="eastAsia"/>
              </w:rPr>
              <w:t>或請同儕協助轉達</w:t>
            </w:r>
            <w:r w:rsidR="00A7112F">
              <w:rPr>
                <w:rFonts w:ascii="標楷體" w:eastAsia="標楷體" w:hAnsi="標楷體" w:hint="eastAsia"/>
              </w:rPr>
              <w:t>的禮貌</w:t>
            </w:r>
            <w:r>
              <w:rPr>
                <w:rFonts w:ascii="標楷體" w:eastAsia="標楷體" w:hAnsi="標楷體" w:hint="eastAsia"/>
              </w:rPr>
              <w:t>表達</w:t>
            </w:r>
            <w:r w:rsidR="00F84B6F">
              <w:rPr>
                <w:rFonts w:ascii="標楷體" w:eastAsia="標楷體" w:hAnsi="標楷體" w:hint="eastAsia"/>
              </w:rPr>
              <w:t>；了解</w:t>
            </w:r>
            <w:r w:rsidR="00A7112F">
              <w:rPr>
                <w:rFonts w:ascii="標楷體" w:eastAsia="標楷體" w:hAnsi="標楷體" w:hint="eastAsia"/>
              </w:rPr>
              <w:t>在</w:t>
            </w:r>
            <w:r w:rsidR="00F84B6F">
              <w:rPr>
                <w:rFonts w:ascii="標楷體" w:eastAsia="標楷體" w:hAnsi="標楷體" w:hint="eastAsia"/>
              </w:rPr>
              <w:t>搭配自身助聽輔具的狀況下，如何</w:t>
            </w:r>
            <w:r w:rsidR="00A7112F">
              <w:rPr>
                <w:rFonts w:ascii="標楷體" w:eastAsia="標楷體" w:hAnsi="標楷體" w:hint="eastAsia"/>
              </w:rPr>
              <w:t>跟資源中心</w:t>
            </w:r>
            <w:r w:rsidR="00F84B6F">
              <w:rPr>
                <w:rFonts w:ascii="標楷體" w:eastAsia="標楷體" w:hAnsi="標楷體" w:hint="eastAsia"/>
              </w:rPr>
              <w:t>申請</w:t>
            </w:r>
            <w:r w:rsidR="00841392">
              <w:rPr>
                <w:rFonts w:ascii="標楷體" w:eastAsia="標楷體" w:hAnsi="標楷體" w:hint="eastAsia"/>
              </w:rPr>
              <w:t>或更換</w:t>
            </w:r>
            <w:r w:rsidR="00F84B6F">
              <w:rPr>
                <w:rFonts w:ascii="標楷體" w:eastAsia="標楷體" w:hAnsi="標楷體" w:hint="eastAsia"/>
              </w:rPr>
              <w:t>調頻系統</w:t>
            </w:r>
            <w:r w:rsidR="00A7112F">
              <w:rPr>
                <w:rFonts w:ascii="標楷體" w:eastAsia="標楷體" w:hAnsi="標楷體" w:hint="eastAsia"/>
              </w:rPr>
              <w:t>的程序</w:t>
            </w:r>
            <w:r w:rsidR="00F75852">
              <w:rPr>
                <w:rFonts w:ascii="標楷體" w:eastAsia="標楷體" w:hAnsi="標楷體" w:hint="eastAsia"/>
              </w:rPr>
              <w:t>；感受輔具對自己帶來的益處。</w:t>
            </w:r>
          </w:p>
          <w:p w14:paraId="32120E23" w14:textId="3564CF21" w:rsidR="00CF5EA7" w:rsidRPr="00A76738" w:rsidRDefault="00CF5EA7" w:rsidP="003B7CE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D4DF0" w:rsidRPr="003B7CED" w14:paraId="6270F169" w14:textId="77777777" w:rsidTr="00FC0B2B">
        <w:trPr>
          <w:trHeight w:val="91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3D859491" w:rsidR="000D4DF0" w:rsidRPr="00A76738" w:rsidRDefault="000D4DF0" w:rsidP="004B1047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第1-10週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619E6506" w:rsidR="000D4DF0" w:rsidRPr="00A76738" w:rsidRDefault="000D4DF0" w:rsidP="004B104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正確操作輔具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AEB9" w14:textId="77777777" w:rsidR="000D4DF0" w:rsidRDefault="00566195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能了解如何</w:t>
            </w:r>
            <w:r w:rsidR="00CF5EA7">
              <w:rPr>
                <w:rFonts w:ascii="標楷體" w:eastAsia="標楷體" w:hAnsi="標楷體" w:cs="新細明體" w:hint="eastAsia"/>
                <w:szCs w:val="24"/>
              </w:rPr>
              <w:t>精確的</w:t>
            </w:r>
            <w:r>
              <w:rPr>
                <w:rFonts w:ascii="標楷體" w:eastAsia="標楷體" w:hAnsi="標楷體" w:cs="新細明體" w:hint="eastAsia"/>
                <w:szCs w:val="24"/>
              </w:rPr>
              <w:t>操作自己的助聽輔具，且養成攜帶備用電池的習</w:t>
            </w:r>
            <w:r w:rsidR="00CF5EA7">
              <w:rPr>
                <w:rFonts w:ascii="標楷體" w:eastAsia="標楷體" w:hAnsi="標楷體" w:cs="新細明體" w:hint="eastAsia"/>
                <w:szCs w:val="24"/>
              </w:rPr>
              <w:t>慣；和同班聽障生一起合作輪流操作彼此的調頻輔具。</w:t>
            </w:r>
          </w:p>
          <w:p w14:paraId="34635998" w14:textId="5AE7C8EA" w:rsidR="00CF5EA7" w:rsidRPr="00A76738" w:rsidRDefault="00CF5EA7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0D4DF0" w:rsidRPr="000D4DF0" w14:paraId="66685291" w14:textId="77777777" w:rsidTr="002A2120">
        <w:trPr>
          <w:trHeight w:val="91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0D4DF0" w:rsidRPr="003B7CED" w:rsidRDefault="000D4DF0" w:rsidP="004B1047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48A14C60" w:rsidR="000D4DF0" w:rsidRPr="00A76738" w:rsidRDefault="000D4DF0" w:rsidP="004B1047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第11-21週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46889CE1" w:rsidR="000D4DF0" w:rsidRPr="00A76738" w:rsidRDefault="000D4DF0" w:rsidP="004B104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維護輔具及簡易故障排除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ED94" w14:textId="1E040DC0" w:rsidR="000D4DF0" w:rsidRDefault="00E72CBF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了解助聽輔具須維持基本維護的意義和做法；遇個人助聽輔具有狀況時須積極</w:t>
            </w:r>
            <w:r w:rsidR="000D4DF0">
              <w:rPr>
                <w:rFonts w:ascii="標楷體" w:eastAsia="標楷體" w:hAnsi="標楷體" w:cs="新細明體" w:hint="eastAsia"/>
                <w:szCs w:val="24"/>
              </w:rPr>
              <w:t>反應</w:t>
            </w:r>
            <w:r>
              <w:rPr>
                <w:rFonts w:ascii="標楷體" w:eastAsia="標楷體" w:hAnsi="標楷體" w:cs="新細明體" w:hint="eastAsia"/>
                <w:szCs w:val="24"/>
              </w:rPr>
              <w:t>，並搭配家長協助帶至助聽器公司做機械上的處理</w:t>
            </w:r>
            <w:r w:rsidR="000D4DF0">
              <w:rPr>
                <w:rFonts w:ascii="標楷體" w:eastAsia="標楷體" w:hAnsi="標楷體" w:cs="新細明體" w:hint="eastAsia"/>
                <w:szCs w:val="24"/>
              </w:rPr>
              <w:t>；遇FM系統有狀況時，先注意細節訊息的抓</w:t>
            </w:r>
            <w:r>
              <w:rPr>
                <w:rFonts w:ascii="標楷體" w:eastAsia="標楷體" w:hAnsi="標楷體" w:cs="新細明體" w:hint="eastAsia"/>
                <w:szCs w:val="24"/>
              </w:rPr>
              <w:t>取，若是頻道跑掉，學生須學會自己調整回原本的頻道，但若不是，便須帶著訊息找老師</w:t>
            </w:r>
            <w:r w:rsidR="00A7112F">
              <w:rPr>
                <w:rFonts w:ascii="標楷體" w:eastAsia="標楷體" w:hAnsi="標楷體" w:cs="新細明體" w:hint="eastAsia"/>
                <w:szCs w:val="24"/>
              </w:rPr>
              <w:t>協同廠商請求協助</w:t>
            </w:r>
            <w:r w:rsidR="00566195">
              <w:rPr>
                <w:rFonts w:ascii="標楷體" w:eastAsia="標楷體" w:hAnsi="標楷體" w:cs="新細明體" w:hint="eastAsia"/>
                <w:szCs w:val="24"/>
              </w:rPr>
              <w:t>調整</w:t>
            </w:r>
            <w:r>
              <w:rPr>
                <w:rFonts w:ascii="標楷體" w:eastAsia="標楷體" w:hAnsi="標楷體" w:cs="新細明體" w:hint="eastAsia"/>
                <w:szCs w:val="24"/>
              </w:rPr>
              <w:t>或協助判斷狀況</w:t>
            </w:r>
            <w:r w:rsidR="00A7112F"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3F818216" w14:textId="5322B065" w:rsidR="00CF5EA7" w:rsidRPr="00A76738" w:rsidRDefault="00CF5EA7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B1047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4B1047" w:rsidRDefault="004B1047" w:rsidP="004B1047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03AFD1C8" w:rsidR="004B1047" w:rsidRPr="00A76738" w:rsidRDefault="00066782" w:rsidP="004B1047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人權教育、生命教育</w:t>
            </w:r>
          </w:p>
        </w:tc>
      </w:tr>
      <w:tr w:rsidR="004B1047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1047" w:rsidRPr="003B7CED" w:rsidRDefault="004B1047" w:rsidP="004B1047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11A25219" w:rsidR="004B1047" w:rsidRPr="00A76738" w:rsidRDefault="001475B0" w:rsidP="004B104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課堂實踐(60％)、口頭討論(40％)</w:t>
            </w:r>
          </w:p>
        </w:tc>
      </w:tr>
      <w:tr w:rsidR="004B1047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7306DB0" w:rsidR="004B1047" w:rsidRPr="00A76738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4B1047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69E44A41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4B1047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4B1047" w:rsidRPr="00416F43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C01D9" w14:textId="77777777" w:rsidR="008408E2" w:rsidRDefault="008408E2">
      <w:r>
        <w:separator/>
      </w:r>
    </w:p>
  </w:endnote>
  <w:endnote w:type="continuationSeparator" w:id="0">
    <w:p w14:paraId="35B7C559" w14:textId="77777777" w:rsidR="008408E2" w:rsidRDefault="0084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06F0" w14:textId="77777777" w:rsidR="008408E2" w:rsidRDefault="008408E2">
      <w:r>
        <w:rPr>
          <w:color w:val="000000"/>
        </w:rPr>
        <w:separator/>
      </w:r>
    </w:p>
  </w:footnote>
  <w:footnote w:type="continuationSeparator" w:id="0">
    <w:p w14:paraId="1EDE38BF" w14:textId="77777777" w:rsidR="008408E2" w:rsidRDefault="00840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6782"/>
    <w:rsid w:val="00067F56"/>
    <w:rsid w:val="00092394"/>
    <w:rsid w:val="00093F88"/>
    <w:rsid w:val="000B5C19"/>
    <w:rsid w:val="000D4DF0"/>
    <w:rsid w:val="00111E25"/>
    <w:rsid w:val="001475B0"/>
    <w:rsid w:val="00154F97"/>
    <w:rsid w:val="00172339"/>
    <w:rsid w:val="00177399"/>
    <w:rsid w:val="001976EB"/>
    <w:rsid w:val="001A6F5E"/>
    <w:rsid w:val="001E69E8"/>
    <w:rsid w:val="001E6C68"/>
    <w:rsid w:val="001F6C8A"/>
    <w:rsid w:val="00205BC0"/>
    <w:rsid w:val="00221889"/>
    <w:rsid w:val="00223870"/>
    <w:rsid w:val="002262AF"/>
    <w:rsid w:val="002405B4"/>
    <w:rsid w:val="00251151"/>
    <w:rsid w:val="00280CE2"/>
    <w:rsid w:val="00284601"/>
    <w:rsid w:val="002C7AE8"/>
    <w:rsid w:val="0030074A"/>
    <w:rsid w:val="003301E5"/>
    <w:rsid w:val="00377046"/>
    <w:rsid w:val="00385F1B"/>
    <w:rsid w:val="00396D26"/>
    <w:rsid w:val="003A4043"/>
    <w:rsid w:val="003B3B2A"/>
    <w:rsid w:val="003B7CED"/>
    <w:rsid w:val="003C3340"/>
    <w:rsid w:val="003E268A"/>
    <w:rsid w:val="003E3600"/>
    <w:rsid w:val="00416F43"/>
    <w:rsid w:val="0049136D"/>
    <w:rsid w:val="004A09F8"/>
    <w:rsid w:val="004A616D"/>
    <w:rsid w:val="004B0953"/>
    <w:rsid w:val="004B1047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64114"/>
    <w:rsid w:val="00566195"/>
    <w:rsid w:val="005715E1"/>
    <w:rsid w:val="005831C7"/>
    <w:rsid w:val="005A33C7"/>
    <w:rsid w:val="005B520E"/>
    <w:rsid w:val="005D4395"/>
    <w:rsid w:val="005E633D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33DCB"/>
    <w:rsid w:val="008408E2"/>
    <w:rsid w:val="008411B3"/>
    <w:rsid w:val="00841392"/>
    <w:rsid w:val="008858E1"/>
    <w:rsid w:val="00892654"/>
    <w:rsid w:val="008A0294"/>
    <w:rsid w:val="008B2DA5"/>
    <w:rsid w:val="008D62AF"/>
    <w:rsid w:val="0092546C"/>
    <w:rsid w:val="009447AB"/>
    <w:rsid w:val="009556FC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1279"/>
    <w:rsid w:val="00A62260"/>
    <w:rsid w:val="00A67425"/>
    <w:rsid w:val="00A7112F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321F5"/>
    <w:rsid w:val="00C54638"/>
    <w:rsid w:val="00CC3DBA"/>
    <w:rsid w:val="00CC5F8F"/>
    <w:rsid w:val="00CD600A"/>
    <w:rsid w:val="00CF5EA7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B94"/>
    <w:rsid w:val="00DA6CA5"/>
    <w:rsid w:val="00DC54C1"/>
    <w:rsid w:val="00DD7F4A"/>
    <w:rsid w:val="00DE597B"/>
    <w:rsid w:val="00DF76E6"/>
    <w:rsid w:val="00E125E9"/>
    <w:rsid w:val="00E5398B"/>
    <w:rsid w:val="00E72CBF"/>
    <w:rsid w:val="00E8202F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75852"/>
    <w:rsid w:val="00F81B31"/>
    <w:rsid w:val="00F84B6F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DDA51178-2A17-448B-B288-2203DC21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4C44A-94E4-4CB0-A37A-5C6CB9AC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2021-06-02T03:30:00Z</dcterms:created>
  <dcterms:modified xsi:type="dcterms:W3CDTF">2022-04-26T08:00:00Z</dcterms:modified>
</cp:coreProperties>
</file>