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AC7F94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1B3918">
        <w:rPr>
          <w:rFonts w:ascii="標楷體" w:eastAsia="標楷體" w:hAnsi="標楷體" w:cs="標楷體" w:hint="eastAsia"/>
          <w:color w:val="000000"/>
          <w:sz w:val="32"/>
          <w:szCs w:val="32"/>
        </w:rPr>
        <w:t>九年級</w:t>
      </w:r>
      <w:r w:rsidR="00F356A8">
        <w:rPr>
          <w:rFonts w:ascii="標楷體" w:eastAsia="標楷體" w:hAnsi="標楷體" w:cs="標楷體" w:hint="eastAsia"/>
          <w:color w:val="000000"/>
          <w:sz w:val="32"/>
          <w:szCs w:val="32"/>
        </w:rPr>
        <w:t>藝術</w:t>
      </w:r>
      <w:r w:rsidR="001B3918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F356A8">
        <w:rPr>
          <w:rFonts w:ascii="標楷體" w:eastAsia="標楷體" w:hAnsi="標楷體" w:cs="標楷體" w:hint="eastAsia"/>
          <w:color w:val="000000"/>
          <w:sz w:val="32"/>
          <w:szCs w:val="32"/>
        </w:rPr>
        <w:t>音樂</w:t>
      </w:r>
      <w:r w:rsidR="001B3918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221"/>
        <w:gridCol w:w="2631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4A9" w:rsidRDefault="003804A9" w:rsidP="003804A9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3804A9" w:rsidRDefault="001B3918" w:rsidP="003804A9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804A9">
              <w:rPr>
                <w:rFonts w:ascii="標楷體" w:eastAsia="標楷體" w:hAnsi="標楷體"/>
                <w:color w:val="000000"/>
              </w:rPr>
              <w:t>藝術(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804A9" w:rsidRPr="001B3918">
              <w:rPr>
                <w:rFonts w:ascii="標楷體" w:eastAsia="標楷體" w:hAnsi="標楷體"/>
                <w:color w:val="000000"/>
              </w:rPr>
              <w:t>音樂</w:t>
            </w:r>
            <w:r w:rsidR="003804A9">
              <w:rPr>
                <w:rFonts w:ascii="標楷體" w:eastAsia="標楷體" w:hAnsi="標楷體"/>
                <w:color w:val="000000"/>
              </w:rPr>
              <w:t>□視覺藝術□表演藝術)□綜合活動(□家政□童軍□輔導)□科技(□資訊科技□生活科技)</w:t>
            </w:r>
          </w:p>
          <w:p w:rsidR="006534F5" w:rsidRDefault="003804A9" w:rsidP="003804A9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</w:rPr>
              <w:t>原住民族語：</w:t>
            </w:r>
            <w:r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4A9" w:rsidRDefault="003804A9" w:rsidP="003804A9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  <w:r w:rsidRPr="001B3918">
              <w:rPr>
                <w:rFonts w:ascii="標楷體" w:eastAsia="標楷體" w:hAnsi="標楷體"/>
                <w:color w:val="000000"/>
              </w:rPr>
              <w:t xml:space="preserve"> </w:t>
            </w:r>
            <w:r w:rsidR="001B3918">
              <w:rPr>
                <mc:AlternateContent>
                  <mc:Choice Requires="w16se">
                    <w:rFonts w:ascii="Times New Roman" w:eastAsia="標楷體" w:hAnsi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6534F5" w:rsidRDefault="001B3918" w:rsidP="00D90A4C">
            <w:pPr>
              <w:spacing w:line="396" w:lineRule="auto"/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804A9" w:rsidRPr="001B3918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804A9" w:rsidRPr="001B3918">
              <w:rPr>
                <w:rFonts w:ascii="標楷體" w:eastAsia="標楷體" w:hAnsi="標楷體"/>
                <w:color w:val="000000"/>
              </w:rPr>
              <w:t>下學期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78F" w:rsidRDefault="002A35F2" w:rsidP="0014578F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14578F">
              <w:rPr>
                <w:rFonts w:ascii="標楷體" w:eastAsia="標楷體" w:hAnsi="標楷體"/>
                <w:color w:val="000000"/>
              </w:rPr>
              <w:t>選用教科書:</w:t>
            </w:r>
            <w:r w:rsidR="0014578F">
              <w:rPr>
                <w:rFonts w:ascii="標楷體" w:eastAsia="標楷體" w:hAnsi="標楷體"/>
                <w:color w:val="000000"/>
                <w:u w:val="single"/>
              </w:rPr>
              <w:t xml:space="preserve">   </w:t>
            </w:r>
            <w:r w:rsidR="0014578F">
              <w:rPr>
                <w:rFonts w:ascii="標楷體" w:eastAsia="標楷體" w:hAnsi="標楷體" w:hint="eastAsia"/>
                <w:color w:val="000000"/>
                <w:u w:val="single"/>
              </w:rPr>
              <w:t>奇鼎</w:t>
            </w:r>
            <w:r w:rsidR="0014578F">
              <w:rPr>
                <w:rFonts w:ascii="標楷體" w:eastAsia="標楷體" w:hAnsi="標楷體"/>
                <w:color w:val="000000"/>
                <w:u w:val="single"/>
              </w:rPr>
              <w:t xml:space="preserve">        版           </w:t>
            </w:r>
            <w:r w:rsidR="0014578F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6534F5" w:rsidRDefault="0014578F" w:rsidP="0014578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B5EDF">
            <w:pPr>
              <w:spacing w:line="396" w:lineRule="auto"/>
              <w:jc w:val="both"/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學期內每週 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 xml:space="preserve">   節</w:t>
            </w:r>
          </w:p>
        </w:tc>
      </w:tr>
      <w:tr w:rsidR="006534F5" w:rsidRPr="00D90A4C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0A4C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D90A4C" w:rsidRDefault="00CE6B17" w:rsidP="00D90A4C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藝-J-A1 參與藝術活動， 增進美感知能。藝-J-A2 嘗試設計思考， 探索藝術實踐解 決問題的途徑。藝-J-A3 嘗試規劃與執行 藝術活動，因應 情境需求發揮創 意。藝-J-B1應用藝術符號， 以表達觀點與風 格。藝-J-B2 思辨科技資訊、 媒體與藝術的關 係，進行創作與 鑑賞。藝-J-B3 善用多元感官， 探索理解藝術與 生活的關聯，以 展現美感意識。藝-J-C1 探討藝術活動中 社會議題的意 義。藝-J-C2 透過藝術實踐， 建立利他與合群 的知能，培養團 隊合作與溝通協 調的能力。藝-J-C3 理解在地及全球 藝術與文化的多 元與差異。</w:t>
            </w:r>
          </w:p>
        </w:tc>
      </w:tr>
      <w:tr w:rsidR="006534F5" w:rsidRPr="00D90A4C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0A4C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D90A4C" w:rsidRDefault="00B66F11" w:rsidP="00D90A4C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52191">
              <w:rPr>
                <w:rFonts w:ascii="標楷體" w:eastAsia="標楷體" w:hAnsi="標楷體" w:cs="標楷體"/>
                <w:color w:val="FF0000"/>
              </w:rPr>
              <w:t>增進對藝術領域及科目的相關知識與技能之覺察、探究、理解，以及表達的能力。 發展善用多元媒介與形式，從事藝術與生活創作和展現的素養，以傳達思想與情感。 提升對藝術與文化的審美感知、理解、分析，以及判斷的能力，以增進美善生活。 培養主動參加藝術與文化活動的興趣和習慣，體會生命與藝術文化的關係與價值。 傳承文化與創新藝術，增進人與自己、他人、環境之多元、同理關懷與永續發展。</w:t>
            </w:r>
          </w:p>
        </w:tc>
      </w:tr>
      <w:tr w:rsidR="006534F5" w:rsidRPr="00D90A4C" w:rsidTr="001B3918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D90A4C" w:rsidRDefault="009A7B2F" w:rsidP="001B3918">
            <w:pPr>
              <w:jc w:val="center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Pr="00D90A4C" w:rsidRDefault="009A7B2F" w:rsidP="001B3918">
            <w:pPr>
              <w:jc w:val="both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D90A4C" w:rsidTr="001B3918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D90A4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D90A4C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D90A4C" w:rsidRDefault="009A7B2F" w:rsidP="001B39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D90A4C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65942" w:rsidRPr="00D90A4C" w:rsidTr="001B391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5942" w:rsidRPr="00D90A4C" w:rsidRDefault="00E16BC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hint="eastAsia"/>
              </w:rPr>
              <w:br/>
            </w:r>
            <w:r w:rsidR="00D65942" w:rsidRPr="00D90A4C">
              <w:rPr>
                <w:rFonts w:ascii="標楷體" w:eastAsia="標楷體" w:hAnsi="標楷體" w:hint="eastAsia"/>
              </w:rPr>
              <w:br/>
            </w: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D65942" w:rsidRPr="00D90A4C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942" w:rsidRPr="00D90A4C" w:rsidRDefault="00D65942" w:rsidP="001B3918">
            <w:pPr>
              <w:spacing w:line="300" w:lineRule="auto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Pr="00D90A4C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942" w:rsidRPr="00D90A4C" w:rsidRDefault="00D6594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第四課：掌上的世界：</w:t>
            </w:r>
          </w:p>
          <w:p w:rsidR="00D65942" w:rsidRPr="00D90A4C" w:rsidRDefault="00D6594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遊戲音樂</w:t>
            </w:r>
          </w:p>
          <w:p w:rsidR="00D65942" w:rsidRPr="00D90A4C" w:rsidRDefault="00D65942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942" w:rsidRPr="00D90A4C" w:rsidRDefault="00D6594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音1-Ⅳ-2能融入傳統、當代或流行音樂的風格，改編樂曲，以表達觀點。</w:t>
            </w:r>
          </w:p>
          <w:p w:rsidR="00D65942" w:rsidRPr="00D90A4C" w:rsidRDefault="00D6594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</w:rPr>
              <w:t>-2能透過討論，以探究樂曲創作背景與社會文化的關聯及其意義，表達多元觀點。</w:t>
            </w:r>
          </w:p>
          <w:p w:rsidR="00D65942" w:rsidRPr="00D90A4C" w:rsidRDefault="00D6594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</w:rPr>
              <w:t>-2能運用科技媒體蒐集藝文資訊或聆賞音樂，以培養自主學習音樂的興趣。</w:t>
            </w:r>
          </w:p>
          <w:p w:rsidR="00D65942" w:rsidRPr="00D90A4C" w:rsidRDefault="00D65942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942" w:rsidRPr="00D90A4C" w:rsidRDefault="00D6594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D65942" w:rsidRPr="00D90A4C" w:rsidRDefault="00D6594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D65942" w:rsidRPr="00D90A4C" w:rsidRDefault="00D6594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D65942" w:rsidRPr="00D90A4C" w:rsidRDefault="00D65942" w:rsidP="001B3918">
            <w:pPr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</w:rPr>
              <w:t>-2相關音樂語彙。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942" w:rsidRPr="00D90A4C" w:rsidRDefault="00D65942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D65942" w:rsidRPr="00D90A4C" w:rsidRDefault="00D65942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D65942" w:rsidRPr="00D90A4C" w:rsidRDefault="00D65942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D65942" w:rsidRPr="00D90A4C" w:rsidRDefault="00D65942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D65942" w:rsidRPr="00D90A4C" w:rsidRDefault="00D65942" w:rsidP="005174FF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942" w:rsidRPr="00D90A4C" w:rsidRDefault="00D65942" w:rsidP="005174F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【科技教育】</w:t>
            </w:r>
          </w:p>
          <w:p w:rsidR="00D65942" w:rsidRPr="00D90A4C" w:rsidRDefault="00D65942" w:rsidP="005174F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科　J1　藉由各類行動式科技產品的操作，以增進音樂學習的素養，並關注人與科技、資訊、媒體的互動關係。</w:t>
            </w:r>
          </w:p>
          <w:p w:rsidR="00D65942" w:rsidRPr="00D90A4C" w:rsidRDefault="00D65942" w:rsidP="005174F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【資訊教育】</w:t>
            </w:r>
          </w:p>
          <w:p w:rsidR="00D65942" w:rsidRPr="00D90A4C" w:rsidRDefault="00D65942" w:rsidP="005174FF">
            <w:pPr>
              <w:suppressAutoHyphens w:val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資　J9　透過科技資訊與媒體的認識，以增進音樂學習的素養，並審視數位媒體使用上的正確態度，察覺人與資訊、媒體的互動關係。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942" w:rsidRPr="00D90A4C" w:rsidRDefault="00D65942" w:rsidP="005174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第四課：掌上的世界：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遊戲音樂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jc w:val="both"/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第四課：掌上的世界：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遊戲音樂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第四課：掌上的世界：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遊戲音樂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第四課：掌上的世界：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遊戲音樂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第五課：夢想的國度：看見動畫中的音樂世界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音3-IV-2能運用科技媒體蒐集藝文資訊或聆賞音樂，以培養自主學習音樂的興趣與發展。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音E-IV-4音樂元素，如：音色、調式、和聲等。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第五課：夢想的國度：看見動畫中的音樂世界</w:t>
            </w:r>
          </w:p>
          <w:p w:rsidR="00E52191" w:rsidRPr="00D90A4C" w:rsidRDefault="00E52191" w:rsidP="001B3918">
            <w:pPr>
              <w:spacing w:line="300" w:lineRule="auto"/>
              <w:rPr>
                <w:rFonts w:ascii="標楷體" w:eastAsia="標楷體" w:hAnsi="標楷體" w:cs="標楷體" w:hint="eastAsia"/>
                <w:color w:val="000000"/>
              </w:rPr>
            </w:pPr>
            <w:r w:rsidRPr="00E52191">
              <w:rPr>
                <w:rFonts w:ascii="標楷體" w:eastAsia="標楷體" w:hAnsi="標楷體" w:cs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音3-IV-2能運用科技媒體蒐集藝文資訊或聆賞音樂，以培養自主學習音樂的興趣與發展。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音E-IV-4音樂元素，如：音色、調式、和聲等。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第五課：夢想的國度：看見動畫中的音樂世界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音3-IV-2能運用科技媒體蒐集藝文資訊或聆賞音樂，以培養自主學習音樂的興趣與發展。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音E-IV-4音樂元素，如：音色、調式、和聲等。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第五課：夢想的國度：看見動畫中的音樂世界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音3-IV-2能運用科技媒體蒐集藝文資訊或聆賞音樂，以培養自主學習音樂的興趣與發展。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音E-IV-4音樂元素，如：音色、調式、和聲等。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第五課：夢想的國度：看見動畫中的音樂世界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音3-IV-2能運用科技媒體蒐集藝文資訊或聆賞音樂，以培養自主學習音樂的興趣與發展。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音E-IV-4音樂元素，如：音色、調式、和聲等。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C0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30C0" w:rsidRPr="00D90A4C" w:rsidRDefault="005430C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第六課：謬思的E響：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虛擬的音樂世界</w:t>
            </w:r>
          </w:p>
          <w:p w:rsidR="005430C0" w:rsidRPr="00D90A4C" w:rsidRDefault="005430C0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5430C0" w:rsidRPr="00D90A4C" w:rsidRDefault="005430C0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430C0" w:rsidRPr="00D90A4C" w:rsidRDefault="005430C0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430C0" w:rsidRPr="00D90A4C" w:rsidRDefault="005430C0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0000FF"/>
                <w:sz w:val="20"/>
                <w:szCs w:val="20"/>
                <w:highlight w:val="yellow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0C0" w:rsidRPr="00D90A4C" w:rsidRDefault="005430C0" w:rsidP="001B3918">
            <w:pPr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第六課：謬思的E響：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虛擬的音樂世界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E27F36" w:rsidRPr="001B3918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lastRenderedPageBreak/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【法治教育】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法　J3　對於音樂相關智慧財產權的基本認識，培養良好的法治態度。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J13　理解最新科技應用的趨勢，從虛擬的樂器聲聯想到視覺的幻覺，能適當培養出對科技產生的各種批判能力。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第六課：謬思的E響：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虛擬的音樂世界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【法治教育】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法　J3　對於音樂相關智慧財產權的基本認識，培養良好的法治態度。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J13　理解最新科技應用的趨勢，從虛擬的樂器聲聯想到視覺的幻覺，能適當培養出對科技產生的各種批判能力。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第六課：謬思的E響：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虛擬的音樂世界</w:t>
            </w:r>
          </w:p>
          <w:p w:rsidR="00E27F36" w:rsidRPr="00D90A4C" w:rsidRDefault="00E52191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第二</w:t>
            </w:r>
            <w:r w:rsidRPr="00E52191">
              <w:rPr>
                <w:rFonts w:ascii="標楷體" w:eastAsia="標楷體" w:hAnsi="標楷體" w:cs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E27F36" w:rsidRPr="001B3918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【法治教育】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法　J3　對於音樂相關智慧財產權的基本認識，培養良好的法治態度。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J13　理解最新科技應用的趨勢，從虛擬的樂器聲聯想到視覺的幻覺，能適當培養出對科技產生的各種批判能力。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第六課：謬思的E響：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虛擬的音樂世界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E27F36" w:rsidRPr="001B3918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-3音樂符號與術語、記譜法或簡易音樂軟體。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音A-IV-3音樂美感原則，如：均衡、漸層等。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【法治教育】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法　J3　對於音樂相關智慧財產權的基本認識，培養良好的法治態度。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J13　理解最新科技應用的趨勢，從虛擬的樂器聲聯想到視覺的幻覺，能適當培養出對科技產生的各種批判能力。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百工浮世繪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第3課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科技與音樂：聲音記載與創作的新風貌</w:t>
            </w:r>
          </w:p>
          <w:p w:rsidR="00E27F36" w:rsidRPr="00D90A4C" w:rsidRDefault="00E27F36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音1-IV-2能融入傳統、當代或流行音樂的風格，改編樂曲，以表達觀點。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-3音樂美感原則，如：均衡、漸層等。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【法治教育】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法　J3　對於音樂相關智慧財產權的基本認識，培養良好的法治態度。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J13　理解最新科技應用的趨勢，從虛擬的樂器聲聯想到視覺的幻覺，能適當培養出對科技產生的各種批判能力。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1B3918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3918" w:rsidRPr="00D90A4C" w:rsidRDefault="001B391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百工浮世繪</w:t>
            </w:r>
          </w:p>
          <w:p w:rsidR="001B3918" w:rsidRPr="00D90A4C" w:rsidRDefault="001B3918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第3課</w:t>
            </w:r>
          </w:p>
          <w:p w:rsidR="001B3918" w:rsidRPr="00D90A4C" w:rsidRDefault="001B3918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科技與音樂：聲音記載與創作的新風貌</w:t>
            </w:r>
          </w:p>
          <w:p w:rsidR="001B3918" w:rsidRPr="00D90A4C" w:rsidRDefault="001B3918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音1-IV-2能融入傳統、當代或流行音樂的風格，改編樂曲，以表達觀點。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層等。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lastRenderedPageBreak/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1B3918" w:rsidRPr="00D90A4C" w:rsidRDefault="001B3918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【環境教育】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環　J4　透過聲音錄製的技術，觀察周遭環境的現象，以增進對生活文化的關懷。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【科技教育】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J2　透過聲音的採集與紀錄，瞭解聲音錄製技術的歷史，並感受現代與未來的科技音樂新風格。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lastRenderedPageBreak/>
              <w:t>【資訊教育】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資　J7透過分組及配合共同利用數位資訊軟體進行創作，並體會資訊科技輔助知識學習的重要性。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【生涯規劃教育】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涯　J7　從認識聲音的元素開始，逐一學習與聲音相關的工作，並對聲音工業產生興趣。</w:t>
            </w:r>
          </w:p>
          <w:p w:rsidR="001B3918" w:rsidRPr="00D90A4C" w:rsidRDefault="001B3918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1B3918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3918" w:rsidRPr="00D90A4C" w:rsidRDefault="001B391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百工浮世繪</w:t>
            </w:r>
          </w:p>
          <w:p w:rsidR="001B3918" w:rsidRPr="00D90A4C" w:rsidRDefault="001B3918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第3課</w:t>
            </w:r>
          </w:p>
          <w:p w:rsidR="001B3918" w:rsidRPr="00D90A4C" w:rsidRDefault="001B3918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科技與音樂：聲音記載與創作的新風貌</w:t>
            </w:r>
          </w:p>
          <w:p w:rsidR="001B3918" w:rsidRPr="00D90A4C" w:rsidRDefault="001B3918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音1-IV-2能融入傳統、當代或流行音樂的風格，改編樂曲，以表達觀點。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-3音樂美感原則，如：均衡、漸層等。</w:t>
            </w:r>
          </w:p>
          <w:p w:rsidR="001B3918" w:rsidRPr="00D90A4C" w:rsidRDefault="001B3918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1B3918" w:rsidRPr="00D90A4C" w:rsidRDefault="001B3918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【環境教育】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環　J4　透過聲音錄製的技術，觀察周遭環境的現象，以增進對生活文化的關懷。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【科技教育】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J2　透過聲音的採集與紀錄，瞭解聲音錄製技術的歷史，並感受現代與未來的科技音樂新風格。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【資訊教育】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資　J7透過分組及配合共同利用數位資訊軟體進行創作，並體會資訊科技輔助知識學習的重要性。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【生涯規劃教育】</w:t>
            </w:r>
          </w:p>
          <w:p w:rsidR="001B3918" w:rsidRPr="00D90A4C" w:rsidRDefault="001B3918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涯　J7　從認識聲音的元素開始，逐一學習與聲音相關的工作，並對聲音工業產生興趣。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918" w:rsidRPr="00D90A4C" w:rsidRDefault="001B3918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E27F36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F36" w:rsidRPr="00D90A4C" w:rsidRDefault="00E27F3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="001B3918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百工浮世繪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第3課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科技與音樂：聲音記載與創作的新風貌</w:t>
            </w:r>
          </w:p>
          <w:p w:rsidR="00E27F36" w:rsidRPr="00D90A4C" w:rsidRDefault="00E27F36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音1-IV-2能融入傳統、當代或流行音樂的風格，改編樂曲，以表達觀點。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-3音樂美感原則，如：均衡、漸層等。</w:t>
            </w:r>
          </w:p>
          <w:p w:rsidR="00E27F36" w:rsidRPr="00D90A4C" w:rsidRDefault="00E27F36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【環境教育】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環　J4　透過聲音錄製的技術，觀察周遭環境的現象，以增進對生活文化的關懷。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【科技教育】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J2　透過聲音的採集與紀錄，瞭解聲音錄製技術的歷史，並感受現代與未來的科技音樂新風格。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【資訊教育】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資　J7透過分組及配合共同利用數位資訊軟體進行創作，並體會資訊科技輔助知識學習的重要性。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【生涯規劃教育】</w:t>
            </w:r>
          </w:p>
          <w:p w:rsidR="00E27F36" w:rsidRPr="00D90A4C" w:rsidRDefault="00E27F36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涯　J7　從認識聲音的元素開始，逐一學習與聲音相關的工作，並對聲音工業產生興趣。</w:t>
            </w:r>
          </w:p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F36" w:rsidRPr="00D90A4C" w:rsidRDefault="00E27F36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5806E2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06E2" w:rsidRPr="00D90A4C" w:rsidRDefault="005806E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5174F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</w:rPr>
              <w:t>第</w:t>
            </w:r>
            <w:r w:rsidR="001B3918">
              <w:rPr>
                <w:rStyle w:val="1c"/>
                <w:rFonts w:hint="eastAsia"/>
                <w:kern w:val="0"/>
                <w:szCs w:val="24"/>
              </w:rPr>
              <w:t>20</w:t>
            </w:r>
            <w:r w:rsidRPr="00D90A4C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百工浮世繪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第3課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lastRenderedPageBreak/>
              <w:t>科技與音樂：聲音記載與創作的新風貌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音1-IV-2能融入傳統、當代或流行音樂的風格，改編樂曲，以表達觀點。</w:t>
            </w:r>
          </w:p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風格之樂曲。各種音樂展演形式，以及樂曲之作曲家、音樂表演團體與創作背景。</w:t>
            </w:r>
          </w:p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-3音樂美感原則，如：均衡、漸層等。</w:t>
            </w:r>
          </w:p>
          <w:p w:rsidR="005806E2" w:rsidRPr="00D90A4C" w:rsidRDefault="005806E2" w:rsidP="001B3918">
            <w:pPr>
              <w:pStyle w:val="Web"/>
              <w:widowControl w:val="0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lastRenderedPageBreak/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5806E2" w:rsidRPr="00D90A4C" w:rsidRDefault="005806E2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lastRenderedPageBreak/>
              <w:t>【環境教育】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環　J4　透過聲音錄製的技術，觀察周遭環境的現象，以增進對生活文化的關懷。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【科技教育】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lastRenderedPageBreak/>
              <w:t>科　J2　透過聲音的採集與紀錄，瞭解聲音錄製技術的歷史，並感受現代與未來的科技音樂新風格。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【資訊教育】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資　J7透過分組及配合共同利用數位資訊軟體進行創作，並體會資訊科技輔助知識學習的重要性。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【生涯規劃教育】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涯　J7　從認識聲音的元素開始，逐一學習與聲音相關的工作，並對聲音工業產生興趣。</w:t>
            </w:r>
          </w:p>
          <w:p w:rsidR="005806E2" w:rsidRPr="00D90A4C" w:rsidRDefault="005806E2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5806E2" w:rsidRPr="00D90A4C" w:rsidTr="001B3918">
        <w:trPr>
          <w:trHeight w:val="37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06E2" w:rsidRPr="00D90A4C" w:rsidRDefault="005806E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5174F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90A4C">
              <w:rPr>
                <w:rFonts w:ascii="標楷體" w:eastAsia="標楷體" w:hAnsi="標楷體"/>
                <w:color w:val="000000"/>
              </w:rPr>
              <w:t>第</w:t>
            </w:r>
            <w:r w:rsidR="001B3918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 w:rsidRPr="00D90A4C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百工浮世繪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第3課</w:t>
            </w:r>
          </w:p>
          <w:p w:rsidR="005806E2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科技與音樂：聲音記載與創作的新風貌</w:t>
            </w:r>
          </w:p>
          <w:p w:rsidR="00E52191" w:rsidRPr="00D90A4C" w:rsidRDefault="00E52191" w:rsidP="001B3918">
            <w:pPr>
              <w:pStyle w:val="Web"/>
              <w:spacing w:before="0" w:after="0"/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r w:rsidRPr="00E52191">
              <w:rPr>
                <w:rFonts w:ascii="標楷體" w:eastAsia="標楷體" w:hAnsi="標楷體" w:cs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音1-IV-2能融入傳統、當代或流行音樂的風格，改編樂曲，以表達觀點。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-3音樂美感原則，如：均衡、漸層等。</w:t>
            </w:r>
          </w:p>
          <w:p w:rsidR="005806E2" w:rsidRPr="00D90A4C" w:rsidRDefault="005806E2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-3音樂相關工作的特性與種類。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【環境教育】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環　J4　透過聲音錄製的技術，觀察周遭環境的現象，以增進對生活文化的關懷。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【科技教育】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科　J2　透過聲音的採集與紀錄，瞭解聲音錄製技術的歷史，並感受現代與未來的科技音樂新風格。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【資訊教育】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資　J7透過分組及配合共同利用數位資訊軟體進行創作，並體會資訊科技輔助知識學習的重要性。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【生涯規劃教育】</w:t>
            </w:r>
          </w:p>
          <w:p w:rsidR="005806E2" w:rsidRPr="00D90A4C" w:rsidRDefault="005806E2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涯　J7　從認識聲音的元素開始，逐一學習與聲音相關的工作，並對聲音工業產生興趣。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06E2" w:rsidRPr="00D90A4C" w:rsidRDefault="005806E2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232A09" w:rsidRPr="00D90A4C" w:rsidTr="001B391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A09" w:rsidRPr="00D90A4C" w:rsidRDefault="0063357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232A09" w:rsidRPr="00D90A4C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spacing w:line="300" w:lineRule="auto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Pr="00D90A4C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第四課：海島風情話：臺灣音樂之美</w:t>
            </w:r>
          </w:p>
          <w:p w:rsidR="00232A09" w:rsidRPr="00D90A4C" w:rsidRDefault="00232A09" w:rsidP="001B3918">
            <w:pP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232A09" w:rsidRPr="00D90A4C" w:rsidRDefault="00232A09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【環境教育】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環　J4　以臺灣土地環境切入，瞭解在地環境所衍生的音樂文化，以培養對臺灣山林與河海環境的關注。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【戶外教育】</w:t>
            </w:r>
          </w:p>
          <w:p w:rsidR="00232A09" w:rsidRPr="00D90A4C" w:rsidRDefault="00232A09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戶　J3　透過音樂與土地之間的關係，從不同角度認識臺灣土地之美，以提升環境與人之間的連結思考。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232A09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A09" w:rsidRPr="00D90A4C" w:rsidRDefault="00232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5174FF">
            <w:pPr>
              <w:pStyle w:val="1b"/>
              <w:snapToGrid w:val="0"/>
              <w:rPr>
                <w:rFonts w:ascii="標楷體" w:eastAsia="標楷體" w:hAnsi="標楷體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第四課：海島風情話：臺灣音樂之美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lastRenderedPageBreak/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【環境教育】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環　J4　以臺灣土地環境切入，瞭解在地環境所衍生的音樂文化，以培養對臺灣山林與河海環境的關注。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【戶外教育】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戶　J3　透過音樂與土地之</w:t>
            </w: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lastRenderedPageBreak/>
              <w:t>間的關係，從不同角度認識臺灣土地之美，以提升環境與人之間的連結思考。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232A09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A09" w:rsidRPr="00D90A4C" w:rsidRDefault="00232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40093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第四課：海島風情話：臺灣音樂之美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232A09" w:rsidRPr="00D90A4C" w:rsidRDefault="00232A09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【環境教育】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環　J4　以臺灣土地環境切入，瞭解在地環境所衍生的音樂文化，以培養對臺灣山林與河海環境的關注。</w:t>
            </w:r>
          </w:p>
          <w:p w:rsidR="00232A09" w:rsidRPr="00D90A4C" w:rsidRDefault="00232A09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【戶外教育】</w:t>
            </w:r>
          </w:p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戶　J3　透過音樂與土地之間的關係，從不同角度認識臺灣土地之美，以提升環境與人之間的連結思考。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A09" w:rsidRPr="00D90A4C" w:rsidRDefault="00232A09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第四課：海島風情話：臺灣音樂之美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藝-J-A1參與藝術活動，增進美感知能。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藝-J-B3善用多元感官，探索理解藝術與生活的關聯，以展現美感意識。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藝-J-C1探討藝術活動中社會議題的意義。</w:t>
            </w:r>
          </w:p>
          <w:p w:rsidR="009A180D" w:rsidRPr="00D90A4C" w:rsidRDefault="009A180D" w:rsidP="001B3918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【環境教育】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環　J4　以臺灣土地環境切入，瞭解在地環境所衍生的音樂文化，以培養對臺灣山林與河海環境的關注。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【戶外教育】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戶　J3　透過音樂與土地之間的關係，從不同角度認識臺灣土地之美，以提升環境與人之間的連結思考。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第四課：海島風情話：臺灣音樂之美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【環境教育】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環　J4　以臺灣土地環境切入，瞭解在地環境所衍生的音樂文化，以培養對臺灣山林與河海環境的關注。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【戶外教育】</w:t>
            </w:r>
          </w:p>
          <w:p w:rsidR="009A180D" w:rsidRPr="00D90A4C" w:rsidRDefault="009A180D" w:rsidP="001B3918">
            <w:pPr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戶　J3　透過音樂與土地之間的關係，從不同角度認識臺灣土地之美，以提升環境與人之間的連結思考。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第五課：聽見旅行中的聲音：亞洲音藝之美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視1-IV-4能透過議題創作，表達對生活環境及社會文化的理解。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視2-IV-3能理解藝術產物的功能與價值，以拓展多元視野。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視3-IV-1能透過多元藝文活動的參與，培養對在地藝文環境的關注態度。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視3-IV-2能規劃或報導藝術活動，展現對自然環境與社會議題的關懷。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視E-IV-2平面、立體及複合媒材的表現技法。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視A-IV-1藝術常識、藝術鑑賞方法。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視A-IV-2傳統藝術、當代藝術、視覺文化。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視A-IV-3在地藝術、全球藝術。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視P-IV-1公共藝術、在地藝文活動、藝術薪傳。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視P-IV-2展覽策畫與執行。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【多元文化教育】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多　J5　從臺灣鄰近的國家出發，學習這些友邦的音樂文化與特色，體認文化豐富的多樣性。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【國際教育】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國　J4　介紹來自臺灣周圍國家的音樂文化特色，增加學生的世界觀與責任感。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第五課：聽見旅行中的聲音：亞洲音藝之美</w:t>
            </w:r>
          </w:p>
          <w:p w:rsidR="009A180D" w:rsidRPr="00D90A4C" w:rsidRDefault="00E52191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E52191">
              <w:rPr>
                <w:rFonts w:ascii="標楷體" w:eastAsia="標楷體" w:hAnsi="標楷體" w:cs="標楷體" w:hint="eastAsia"/>
                <w:color w:val="FF0000"/>
              </w:rPr>
              <w:t>第一次定期評量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【多元文化教育】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多　J5　從臺灣鄰近的國家出發，學習這些友邦的音樂文化與特色，體認文化豐富的多樣性。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【國際教育】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國　J4　介紹來自臺灣周圍國家的音樂文化特色，增加學生的世界觀與責任感。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第五課：聽見旅行中的聲音：亞洲音藝之美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【多元文化教育】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多　J5　從臺灣鄰近的國家出發，學習這些友邦的音樂文化與特色，體認文化豐富的多樣性。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【國際教育】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國　J4　介紹來自臺灣周圍國家的音樂文化特色，增加學生的世界觀與責任感。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第五課：聽見旅行中的聲音：亞洲音藝之美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【多元文化教育】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多　J5　從臺灣鄰近的國家出發，學習這些友邦的音樂文化與特色，體認文化豐富的多樣性。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【國際教育】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國　J4　介紹來自臺灣周圍國家的音樂文化特色，增加學生的世界觀與責任感。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第五課：聽見旅行中的聲音：亞洲音藝之美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【多元文化教育】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多　J5　從臺灣鄰近的國家出發，學習這些友邦的音樂</w:t>
            </w: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文化與特色，體認文化豐富的多樣性。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【國際教育】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國　J4　介紹來自臺灣周圍國家的音樂文化特色，增加學生的世界觀與責任感。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第六課：讚詠福爾摩沙：臺灣的心跳聲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音P-IV-1音樂與跨領域藝術文化活動。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J4培養學生音樂廳禮儀的基本態度，引導學生養成尊重他人的習慣。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第六課：讚詠福爾摩沙：臺灣的心跳聲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音P-IV-1音樂與跨領域藝術文化活動。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J4培養學生音樂廳禮儀的基本態度，引導學生養成尊重他人的習慣。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第六課：讚詠福爾摩沙：臺灣的心跳聲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音P-IV-1音樂與跨領域藝術文化活動。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J4培養學生音樂廳禮儀的基本態度，引導學生養成尊重他人的習慣。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第六課：讚詠福爾摩沙：臺灣的心跳聲</w:t>
            </w:r>
          </w:p>
          <w:p w:rsidR="00E52191" w:rsidRPr="00D90A4C" w:rsidRDefault="00E52191" w:rsidP="005174FF">
            <w:pPr>
              <w:pStyle w:val="1b"/>
              <w:snapToGrid w:val="0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第二</w:t>
            </w:r>
            <w:bookmarkStart w:id="2" w:name="_GoBack"/>
            <w:bookmarkEnd w:id="2"/>
            <w:r w:rsidRPr="00E52191">
              <w:rPr>
                <w:rFonts w:ascii="標楷體" w:eastAsia="標楷體" w:hAnsi="標楷體" w:cs="標楷體" w:hint="eastAsia"/>
                <w:color w:val="FF0000"/>
              </w:rPr>
              <w:t>次定期評量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音P-IV-1音樂與跨領域藝術文化活動。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J4培養學生音樂廳禮儀的基本態度，引導學生養成尊重他人的習慣。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第六課：讚詠福爾摩沙：臺灣的心跳聲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-2能運用科技媒體蒐集藝文資訊或聆賞音樂，以培養自主學習音樂的興趣。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音E-IV-2樂器的演奏技巧，以及不同的演奏形式。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音P-IV-1音樂與跨領域藝術文化活動。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90A4C">
              <w:rPr>
                <w:rFonts w:ascii="標楷體" w:eastAsia="標楷體" w:hAnsi="標楷體"/>
                <w:color w:val="00000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J4培養學生音樂廳禮儀的基本態度，引導學生養成尊重他人的習慣。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在地藝術</w:t>
            </w:r>
          </w:p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第1課</w:t>
            </w:r>
          </w:p>
          <w:p w:rsidR="009A180D" w:rsidRPr="00D90A4C" w:rsidRDefault="009A180D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原聲傳林谷：臺灣原住民族之聲</w:t>
            </w:r>
          </w:p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spacing w:after="24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J5　探討臺灣在地原住民的音樂藝術生活，關注原生態音樂文化的保存，重視藝術文化的永續價值。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【原住民族教育】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原　J8　透過原住民族文化的認識，增加學生對本土文化內涵與資產的認同感。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在地藝術</w:t>
            </w:r>
          </w:p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第1課</w:t>
            </w:r>
          </w:p>
          <w:p w:rsidR="009A180D" w:rsidRPr="00D90A4C" w:rsidRDefault="009A180D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原聲傳林谷：臺灣原住民族之聲</w:t>
            </w:r>
          </w:p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spacing w:after="24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lastRenderedPageBreak/>
              <w:t>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lastRenderedPageBreak/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J5　探討臺灣在地原住民的音樂藝術生活，關注原生態音樂文化的保存，重視藝術文化的永續價值。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【原住民族教育】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原　J8　透過原住民族文化的認識，增加學生對本土文化內涵與資產的認同感。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9A180D" w:rsidRPr="00D90A4C" w:rsidTr="001B391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A180D" w:rsidRPr="00D90A4C" w:rsidRDefault="009A1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在地藝術</w:t>
            </w:r>
          </w:p>
          <w:p w:rsidR="009A180D" w:rsidRPr="00D90A4C" w:rsidRDefault="009A180D" w:rsidP="005174FF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第1課</w:t>
            </w:r>
          </w:p>
          <w:p w:rsidR="009A180D" w:rsidRPr="00D90A4C" w:rsidRDefault="009A180D" w:rsidP="005174FF">
            <w:pPr>
              <w:widowControl/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原聲傳林谷：臺灣原住民族之聲</w:t>
            </w:r>
          </w:p>
          <w:p w:rsidR="009A180D" w:rsidRPr="00D90A4C" w:rsidRDefault="009A180D" w:rsidP="005174FF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-1能理解音樂符號並回應指揮，進行歌唱及演奏，展現音樂美感意識。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音1-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-2能融入傳統、當代或流行音樂的風格，改編樂曲，以表達觀點。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-1能使用適當的音樂語彙，賞析各類音樂作品，體會藝術文化之美。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音2-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-2能透過討論，以探究樂曲創作背景與社會文化的關聯及其意義，表達多元觀點。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音3-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-1能透過多元音樂活動，探索音樂及其他藝術之共通性，關懷在地及全球藝術文化。</w:t>
            </w:r>
          </w:p>
          <w:p w:rsidR="009A180D" w:rsidRPr="00D90A4C" w:rsidRDefault="009A180D" w:rsidP="001B3918">
            <w:pPr>
              <w:spacing w:after="24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-1多元形式歌曲。基礎歌唱技巧，如：發聲技巧、表情等。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-2樂器的演奏技巧，以及不同的演奏形式。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音E-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-4音樂元素，如：音色、調式、和聲等。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-1器樂曲與聲樂曲，如：傳統戲曲、音樂劇、世界音樂、電影配樂等多元風格之樂曲。各種音樂展演形式，以及樂曲之作曲家、音樂表演團體與創作背景。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音A-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-2相關音樂語彙，如音色、和聲等描述音樂元素之音樂術語，或相關之一般性用語。</w:t>
            </w:r>
          </w:p>
          <w:p w:rsidR="009A180D" w:rsidRPr="00D90A4C" w:rsidRDefault="009A180D" w:rsidP="001B3918">
            <w:pPr>
              <w:pStyle w:val="Web"/>
              <w:spacing w:before="0" w:after="0"/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</w:pP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音P-</w:t>
            </w:r>
            <w:r w:rsidRPr="00D90A4C">
              <w:rPr>
                <w:rFonts w:ascii="標楷體" w:eastAsia="標楷體" w:hAnsi="標楷體" w:cs="標楷體" w:hint="eastAsia"/>
                <w:color w:val="000000"/>
                <w:kern w:val="3"/>
                <w:szCs w:val="22"/>
              </w:rPr>
              <w:t>Ⅳ</w:t>
            </w:r>
            <w:r w:rsidRPr="00D90A4C">
              <w:rPr>
                <w:rFonts w:ascii="標楷體" w:eastAsia="標楷體" w:hAnsi="標楷體" w:cs="標楷體"/>
                <w:color w:val="000000"/>
                <w:kern w:val="3"/>
                <w:szCs w:val="22"/>
              </w:rPr>
              <w:t>-2在地人文關懷與全球藝術文化相關議題。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Pr="00D90A4C">
              <w:rPr>
                <w:rFonts w:ascii="標楷體" w:eastAsia="標楷體" w:hAnsi="標楷體" w:cs="標楷體"/>
                <w:color w:val="000000"/>
              </w:rPr>
              <w:t>歷程性評量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2.總結性評量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3.學生自我檢核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4.紙筆測驗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【人權教育】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人　J5　探討臺灣在地原住民的音樂藝術生活，關注原生態音樂文化的保存，重視藝術文化的永續價值。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【原住民族教育】</w:t>
            </w:r>
          </w:p>
          <w:p w:rsidR="009A180D" w:rsidRPr="00D90A4C" w:rsidRDefault="009A180D" w:rsidP="001B3918">
            <w:pPr>
              <w:widowControl/>
              <w:suppressAutoHyphens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  <w:r w:rsidRPr="00D90A4C"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  <w:t>原　J8　透過原住民族文化的認識，增加學生對本土文化內涵與資產的認同感。</w:t>
            </w:r>
          </w:p>
          <w:p w:rsidR="009A180D" w:rsidRPr="00D90A4C" w:rsidRDefault="009A180D" w:rsidP="001B3918">
            <w:pPr>
              <w:pStyle w:val="1b"/>
              <w:snapToGrid w:val="0"/>
              <w:rPr>
                <w:rFonts w:ascii="標楷體" w:eastAsia="標楷體" w:hAnsi="標楷體" w:cs="Century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80D" w:rsidRPr="00D90A4C" w:rsidRDefault="009A180D" w:rsidP="001B3918">
            <w:pPr>
              <w:pStyle w:val="1b"/>
              <w:numPr>
                <w:ilvl w:val="0"/>
                <w:numId w:val="2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 w:rsidRPr="00D90A4C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 w:rsidRPr="00D90A4C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</w:tr>
      <w:tr w:rsidR="00C70F14" w:rsidRPr="00D90A4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F14" w:rsidRPr="00D90A4C" w:rsidRDefault="00C70F14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C70F14" w:rsidRPr="00D90A4C" w:rsidRDefault="00C70F14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F14" w:rsidRPr="00D90A4C" w:rsidRDefault="0071022E" w:rsidP="0071022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鋼琴 無線網路 電腦 樂器源軟體 IPAD  線上教學影音收錄麥克風 APPLETV 電子白板</w:t>
            </w:r>
          </w:p>
        </w:tc>
      </w:tr>
      <w:tr w:rsidR="00C70F14" w:rsidRPr="00D90A4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F14" w:rsidRPr="00D90A4C" w:rsidRDefault="00C70F14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90A4C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F14" w:rsidRPr="00D90A4C" w:rsidRDefault="00BA2A7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:rsidR="006534F5" w:rsidRPr="00D90A4C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D90A4C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7C" w:rsidRDefault="0063357C">
      <w:r>
        <w:separator/>
      </w:r>
    </w:p>
  </w:endnote>
  <w:endnote w:type="continuationSeparator" w:id="0">
    <w:p w:rsidR="0063357C" w:rsidRDefault="006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E52191">
      <w:rPr>
        <w:rFonts w:ascii="微軟正黑體" w:eastAsia="微軟正黑體" w:hAnsi="微軟正黑體" w:cs="微軟正黑體"/>
        <w:noProof/>
        <w:color w:val="000000"/>
        <w:sz w:val="20"/>
        <w:szCs w:val="20"/>
      </w:rPr>
      <w:t>15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7C" w:rsidRDefault="0063357C">
      <w:r>
        <w:separator/>
      </w:r>
    </w:p>
  </w:footnote>
  <w:footnote w:type="continuationSeparator" w:id="0">
    <w:p w:rsidR="0063357C" w:rsidRDefault="00633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" w15:restartNumberingAfterBreak="0">
    <w:nsid w:val="77141B85"/>
    <w:multiLevelType w:val="multilevel"/>
    <w:tmpl w:val="C7C09424"/>
    <w:styleLink w:val="LFO16"/>
    <w:lvl w:ilvl="0">
      <w:numFmt w:val="bullet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72A64"/>
    <w:rsid w:val="000B378F"/>
    <w:rsid w:val="0014578F"/>
    <w:rsid w:val="001B3918"/>
    <w:rsid w:val="00232A09"/>
    <w:rsid w:val="002A35F2"/>
    <w:rsid w:val="002D0BF3"/>
    <w:rsid w:val="002F109A"/>
    <w:rsid w:val="003804A9"/>
    <w:rsid w:val="004201C3"/>
    <w:rsid w:val="005430C0"/>
    <w:rsid w:val="005806E2"/>
    <w:rsid w:val="005972F9"/>
    <w:rsid w:val="0063357C"/>
    <w:rsid w:val="00643F11"/>
    <w:rsid w:val="006534F5"/>
    <w:rsid w:val="00664F5E"/>
    <w:rsid w:val="006D690D"/>
    <w:rsid w:val="0071022E"/>
    <w:rsid w:val="0072130C"/>
    <w:rsid w:val="007423C9"/>
    <w:rsid w:val="007B4568"/>
    <w:rsid w:val="00815F04"/>
    <w:rsid w:val="0082068F"/>
    <w:rsid w:val="008664CC"/>
    <w:rsid w:val="008D129A"/>
    <w:rsid w:val="008F36DA"/>
    <w:rsid w:val="0094512F"/>
    <w:rsid w:val="009A180D"/>
    <w:rsid w:val="009A7B2F"/>
    <w:rsid w:val="009C30AF"/>
    <w:rsid w:val="009D1A95"/>
    <w:rsid w:val="00AA66AB"/>
    <w:rsid w:val="00AC7F94"/>
    <w:rsid w:val="00B653C9"/>
    <w:rsid w:val="00B66F11"/>
    <w:rsid w:val="00BA2A7C"/>
    <w:rsid w:val="00BB5EDF"/>
    <w:rsid w:val="00BB7669"/>
    <w:rsid w:val="00C13290"/>
    <w:rsid w:val="00C54332"/>
    <w:rsid w:val="00C70F14"/>
    <w:rsid w:val="00C7116C"/>
    <w:rsid w:val="00CE6B17"/>
    <w:rsid w:val="00D02BF2"/>
    <w:rsid w:val="00D32DA4"/>
    <w:rsid w:val="00D65942"/>
    <w:rsid w:val="00D90A4C"/>
    <w:rsid w:val="00D96A7F"/>
    <w:rsid w:val="00DA2BE3"/>
    <w:rsid w:val="00E16BC2"/>
    <w:rsid w:val="00E27F36"/>
    <w:rsid w:val="00E52191"/>
    <w:rsid w:val="00E8621F"/>
    <w:rsid w:val="00E91980"/>
    <w:rsid w:val="00EC24EA"/>
    <w:rsid w:val="00F356A8"/>
    <w:rsid w:val="00F906EE"/>
    <w:rsid w:val="00FC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13430"/>
  <w15:docId w15:val="{3CCF6CFC-0E45-432A-8A76-1ACCBCF4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0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1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2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0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suppressAutoHyphens/>
    </w:pPr>
    <w:rPr>
      <w:kern w:val="3"/>
      <w:szCs w:val="22"/>
    </w:rPr>
  </w:style>
  <w:style w:type="character" w:customStyle="1" w:styleId="1c">
    <w:name w:val="預設段落字型1"/>
  </w:style>
  <w:style w:type="numbering" w:customStyle="1" w:styleId="2c">
    <w:name w:val="樣式2"/>
    <w:basedOn w:val="a3"/>
  </w:style>
  <w:style w:type="numbering" w:customStyle="1" w:styleId="1">
    <w:name w:val="樣式1"/>
    <w:basedOn w:val="a3"/>
    <w:pPr>
      <w:numPr>
        <w:numId w:val="2"/>
      </w:numPr>
    </w:pPr>
  </w:style>
  <w:style w:type="numbering" w:customStyle="1" w:styleId="LFO16">
    <w:name w:val="LFO16"/>
    <w:basedOn w:val="a3"/>
    <w:pPr>
      <w:numPr>
        <w:numId w:val="3"/>
      </w:numPr>
    </w:pPr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2737</Words>
  <Characters>15606</Characters>
  <Application>Microsoft Office Word</Application>
  <DocSecurity>0</DocSecurity>
  <Lines>130</Lines>
  <Paragraphs>36</Paragraphs>
  <ScaleCrop>false</ScaleCrop>
  <Company/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2022-07-01T07:18:00Z</dcterms:created>
  <dcterms:modified xsi:type="dcterms:W3CDTF">2022-07-01T07:18:00Z</dcterms:modified>
</cp:coreProperties>
</file>