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Pr="00D02DFD" w:rsidRDefault="004F0673" w:rsidP="00D02DFD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D02DFD">
        <w:rPr>
          <w:rFonts w:ascii="標楷體" w:eastAsia="標楷體" w:hAnsi="標楷體" w:hint="eastAsia"/>
          <w:sz w:val="32"/>
          <w:szCs w:val="32"/>
        </w:rPr>
        <w:t>八年級</w:t>
      </w:r>
      <w:r w:rsidR="00E46A27">
        <w:rPr>
          <w:rFonts w:ascii="標楷體" w:eastAsia="標楷體" w:hAnsi="標楷體"/>
          <w:sz w:val="32"/>
          <w:szCs w:val="32"/>
        </w:rPr>
        <w:t>藝術</w:t>
      </w:r>
      <w:r w:rsidR="00D02DFD">
        <w:rPr>
          <w:rFonts w:ascii="標楷體" w:eastAsia="標楷體" w:hAnsi="標楷體" w:hint="eastAsia"/>
          <w:sz w:val="32"/>
          <w:szCs w:val="32"/>
        </w:rPr>
        <w:t>(</w:t>
      </w:r>
      <w:r w:rsidR="00E46A27">
        <w:rPr>
          <w:rFonts w:ascii="標楷體" w:eastAsia="標楷體" w:hAnsi="標楷體"/>
          <w:sz w:val="32"/>
          <w:szCs w:val="32"/>
        </w:rPr>
        <w:t>音樂</w:t>
      </w:r>
      <w:r w:rsidR="00D02DFD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02DFD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02DFD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Pr="00D02DFD" w:rsidRDefault="004F0673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Pr="00D02DFD">
              <w:rPr>
                <w:rFonts w:ascii="標楷體" w:eastAsia="標楷體" w:hAnsi="標楷體"/>
                <w:color w:val="000000"/>
              </w:rPr>
              <w:t>藝術(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Pr="00D02DFD">
              <w:rPr>
                <w:rFonts w:ascii="標楷體" w:eastAsia="標楷體" w:hAnsi="標楷體"/>
                <w:color w:val="000000"/>
              </w:rPr>
              <w:t>音樂□</w:t>
            </w:r>
            <w:r w:rsidR="009A7B2F" w:rsidRPr="00D02DFD">
              <w:rPr>
                <w:rFonts w:ascii="標楷體" w:eastAsia="標楷體" w:hAnsi="標楷體" w:cs="標楷體"/>
                <w:color w:val="000000"/>
              </w:rPr>
              <w:t>視覺藝術□表演藝術)□綜合活動(□家政□童軍□輔導)□科技(□資訊科技□生活科技)</w:t>
            </w:r>
          </w:p>
          <w:p w:rsidR="006534F5" w:rsidRPr="00D02DFD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D02DFD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D02DFD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D02DFD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D02DFD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4F0673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 xml:space="preserve">□7年級  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Pr="00D02DFD">
              <w:rPr>
                <w:rFonts w:ascii="標楷體" w:eastAsia="標楷體" w:hAnsi="標楷體"/>
                <w:color w:val="000000"/>
              </w:rPr>
              <w:t>8年級 □9年級</w:t>
            </w:r>
          </w:p>
          <w:p w:rsidR="004F0673" w:rsidRPr="00D02DFD" w:rsidRDefault="004F0673" w:rsidP="004F0673">
            <w:pPr>
              <w:spacing w:line="396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Pr="00D02DFD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Pr="00D02DFD">
              <w:rPr>
                <w:rFonts w:ascii="標楷體" w:eastAsia="標楷體" w:hAnsi="標楷體"/>
                <w:color w:val="000000"/>
              </w:rPr>
              <w:t>下學期 (若上下學期均開設者，請均註記)</w:t>
            </w:r>
          </w:p>
        </w:tc>
      </w:tr>
      <w:tr w:rsidR="004F0673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E46A27" w:rsidP="004F0673">
            <w:pPr>
              <w:spacing w:line="396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■</w:t>
            </w:r>
            <w:r w:rsidR="004F0673" w:rsidRPr="00D02DFD">
              <w:rPr>
                <w:rFonts w:ascii="標楷體" w:eastAsia="標楷體" w:hAnsi="標楷體"/>
                <w:color w:val="000000"/>
              </w:rPr>
              <w:t>選用教科書:</w:t>
            </w:r>
            <w:r w:rsidR="004F0673" w:rsidRPr="00D02DFD">
              <w:rPr>
                <w:rFonts w:ascii="標楷體" w:eastAsia="標楷體" w:hAnsi="標楷體"/>
                <w:color w:val="000000"/>
                <w:u w:val="single"/>
              </w:rPr>
              <w:t xml:space="preserve">   </w:t>
            </w:r>
            <w:r w:rsidR="004F0673" w:rsidRPr="00D02DFD">
              <w:rPr>
                <w:rFonts w:ascii="標楷體" w:eastAsia="標楷體" w:hAnsi="標楷體" w:hint="eastAsia"/>
                <w:color w:val="000000"/>
                <w:u w:val="single"/>
              </w:rPr>
              <w:t>奇鼎</w:t>
            </w:r>
            <w:r w:rsidR="004F0673" w:rsidRPr="00D02DFD">
              <w:rPr>
                <w:rFonts w:ascii="標楷體" w:eastAsia="標楷體" w:hAnsi="標楷體"/>
                <w:color w:val="000000"/>
                <w:u w:val="single"/>
              </w:rPr>
              <w:t xml:space="preserve">  版           </w:t>
            </w:r>
            <w:r w:rsidR="004F0673" w:rsidRPr="00D02DFD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4F0673" w:rsidRPr="00D02DFD" w:rsidRDefault="004F0673" w:rsidP="004F067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標楷體"/>
                <w:color w:val="000000" w:themeColor="text1"/>
              </w:rPr>
              <w:t xml:space="preserve">學期內每週  </w:t>
            </w:r>
            <w:r w:rsidRPr="00D02DFD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D02DFD">
              <w:rPr>
                <w:rFonts w:ascii="標楷體" w:eastAsia="標楷體" w:hAnsi="標楷體" w:cs="標楷體"/>
                <w:color w:val="000000" w:themeColor="text1"/>
              </w:rPr>
              <w:t xml:space="preserve">  節</w:t>
            </w:r>
            <w:r w:rsidRPr="00D02DFD">
              <w:rPr>
                <w:rFonts w:ascii="標楷體" w:eastAsia="標楷體" w:hAnsi="標楷體" w:cs="標楷體"/>
                <w:color w:val="000000"/>
              </w:rPr>
              <w:t>(</w:t>
            </w:r>
            <w:r w:rsidRPr="00D02DFD">
              <w:rPr>
                <w:rFonts w:ascii="標楷體" w:eastAsia="標楷體" w:hAnsi="標楷體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4F0673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F0673" w:rsidRPr="00D02DFD" w:rsidRDefault="004F0673" w:rsidP="004F0673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b/>
                <w:bCs/>
                <w:color w:val="5B9BD5"/>
                <w:kern w:val="0"/>
                <w:szCs w:val="24"/>
              </w:rPr>
              <w:t>上學期</w:t>
            </w: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br/>
              <w:t>藝-J-A1參與藝術活動，增進美感知能。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藝-J-A3嘗試規劃與執行藝術活動，因應情境需求發揮創意。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藝-J-B1應用藝術符號，以表達觀 點與風格。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藝-J-B2思辨科技資訊、媒體與藝術的關係，進行創作與鑑賞。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藝-J-B3善用多元感官，探索理解藝術與生活的聯，以展現美感意識。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藝-J-C1探討藝術活動中社會議題的意義。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藝-J-C2透過藝術實踐，建立利他與合群的知能，培養團隊合作與溝通協調的能力。</w:t>
            </w:r>
          </w:p>
          <w:p w:rsidR="004F0673" w:rsidRPr="00D02DFD" w:rsidRDefault="004F0673" w:rsidP="004F0673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藝-J-C3理解在地及全球藝術與文化的多元與差異。</w:t>
            </w:r>
          </w:p>
          <w:p w:rsidR="004F0673" w:rsidRPr="00D02DFD" w:rsidRDefault="004F0673" w:rsidP="004F0673">
            <w:pPr>
              <w:rPr>
                <w:rFonts w:ascii="標楷體" w:eastAsia="標楷體" w:hAnsi="標楷體"/>
              </w:rPr>
            </w:pPr>
          </w:p>
          <w:p w:rsidR="004F0673" w:rsidRPr="00D02DFD" w:rsidRDefault="004F0673" w:rsidP="004F0673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b/>
                <w:bCs/>
                <w:color w:val="5B9BD5"/>
                <w:kern w:val="0"/>
                <w:szCs w:val="24"/>
              </w:rPr>
              <w:t>下學期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藝-J-A1參與藝術活動，增進美感知能。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藝-J-A3嘗試規劃與執行藝術活動，因應情境需求發揮創意。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藝-J-B1應用藝術符號，以表達觀點與風格。</w:t>
            </w:r>
          </w:p>
          <w:p w:rsidR="004F0673" w:rsidRPr="00D02DFD" w:rsidRDefault="004F0673" w:rsidP="004F0673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藝-J-B3善用多元感官，探索理解藝術與生活的關聯，以展現美感意識。</w:t>
            </w:r>
          </w:p>
          <w:p w:rsidR="004F0673" w:rsidRPr="00D02DFD" w:rsidRDefault="004F0673" w:rsidP="004F0673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藝-J-C2透過藝術實踐，建立利他與合群的知能，培養團隊合作與溝通協調的能力。</w:t>
            </w:r>
          </w:p>
          <w:p w:rsidR="004F0673" w:rsidRPr="00D02DFD" w:rsidRDefault="004F0673" w:rsidP="004F0673">
            <w:pPr>
              <w:rPr>
                <w:rFonts w:ascii="標楷體" w:eastAsia="標楷體" w:hAnsi="標楷體"/>
              </w:rPr>
            </w:pPr>
          </w:p>
        </w:tc>
      </w:tr>
      <w:tr w:rsidR="004F0673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F0673" w:rsidRPr="00592BBB" w:rsidRDefault="004F0673" w:rsidP="004F0673">
            <w:pPr>
              <w:widowControl/>
              <w:suppressAutoHyphens w:val="0"/>
              <w:ind w:left="240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認識音樂家的音樂信仰與音樂創作關聯。認識不同宗教音樂的樂曲種類</w:t>
            </w:r>
            <w:r w:rsidR="00592BBB"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及</w:t>
            </w: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認識作曲家運用變化終止式的手法表達信仰的方式。透過直笛曲與歌唱曲練習二聲部的演奏唱技巧。</w:t>
            </w:r>
          </w:p>
          <w:p w:rsidR="004F0673" w:rsidRPr="00592BBB" w:rsidRDefault="004F0673" w:rsidP="004F0673">
            <w:pPr>
              <w:widowControl/>
              <w:suppressAutoHyphens w:val="0"/>
              <w:ind w:left="240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探討民俗活動與生活的關係。認識與欣賞臺灣傳統廟會之美。尊重創新的廟會文化與音樂。學會用中國五聲音階進行創作。透過直笛曲與歌唱曲，感受民俗音樂所傳達的意涵。</w:t>
            </w:r>
          </w:p>
          <w:p w:rsidR="004F0673" w:rsidRPr="00592BBB" w:rsidRDefault="004F0673" w:rsidP="004F0673">
            <w:pPr>
              <w:widowControl/>
              <w:suppressAutoHyphens w:val="0"/>
              <w:ind w:left="240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瞭解18世紀歐洲的社會文化與音樂家的關係。認識18世紀的歐洲音樂家與欣賞其作品。瞭解臺灣早期社會背景對於音樂文化的影響。認識臺灣音樂家與欣賞其作品。透過直笛曲與歌唱曲認識東西方音樂家的作品。</w:t>
            </w:r>
          </w:p>
          <w:p w:rsidR="004F0673" w:rsidRPr="00592BBB" w:rsidRDefault="004F0673" w:rsidP="00592BBB">
            <w:pPr>
              <w:widowControl/>
              <w:suppressAutoHyphens w:val="0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b/>
                <w:bCs/>
                <w:color w:val="FF0000"/>
                <w:kern w:val="0"/>
                <w:szCs w:val="24"/>
              </w:rPr>
              <w:t> </w:t>
            </w: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.認識19</w:t>
            </w:r>
            <w:r w:rsidR="00592BBB"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世紀管弦樂團的編制及當代知名樂團及</w:t>
            </w: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著名管弦樂團指揮。體會管弦樂團作品所呈現的意象與樂器音色的特質。適切地透過直笛及歌唱來傳達曲意。</w:t>
            </w:r>
          </w:p>
          <w:p w:rsidR="004F0673" w:rsidRPr="00592BBB" w:rsidRDefault="004F0673" w:rsidP="004F0673">
            <w:pPr>
              <w:widowControl/>
              <w:suppressAutoHyphens w:val="0"/>
              <w:ind w:left="269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從唱詞及戲曲曲調來欣賞中國傳統戲曲之美。賞析崑曲《牡丹亭》、黃梅戲《梁祝》與歌仔戲《陳三五娘》。透過演唱歌唱曲及吹奏直笛曲欣賞中國戲曲之美。認識歌仔戲常用的七字調基本唱腔。聆賞傳統戲曲與流行音樂之間的傳唱與新編。</w:t>
            </w:r>
          </w:p>
          <w:p w:rsidR="004F0673" w:rsidRPr="00D02DFD" w:rsidRDefault="004F0673" w:rsidP="00592BBB">
            <w:pPr>
              <w:widowControl/>
              <w:suppressAutoHyphens w:val="0"/>
              <w:ind w:left="269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592BB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瞭解西方歌劇。欣賞知名歌劇片段並認識歌劇的故事背景。透過演唱歌曲及直笛吹奏，熟悉西方歌劇知名曲調。</w:t>
            </w:r>
          </w:p>
        </w:tc>
      </w:tr>
      <w:tr w:rsidR="004F0673" w:rsidTr="004F0673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4F0673" w:rsidRPr="00D02DFD" w:rsidRDefault="004F0673" w:rsidP="004F0673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4F0673" w:rsidTr="004F0673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heading=h.30j0zll" w:colFirst="0" w:colLast="0"/>
            <w:bookmarkEnd w:id="0"/>
            <w:r w:rsidRPr="00D02DFD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4F0673" w:rsidRPr="00D02DFD" w:rsidRDefault="004F0673" w:rsidP="004F067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4F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F0673" w:rsidTr="004F067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AB1FD7" w:rsidP="00D02DFD">
            <w:pPr>
              <w:spacing w:line="396" w:lineRule="auto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4F0673" w:rsidRPr="00D02DFD">
                  <w:rPr>
                    <w:rFonts w:ascii="標楷體" w:eastAsia="標楷體" w:hAnsi="標楷體" w:cs="Gungsuh"/>
                    <w:color w:val="000000"/>
                  </w:rPr>
                  <w:t>第一學</w:t>
                </w:r>
                <w:r w:rsidR="004F0673" w:rsidRPr="00D02DFD">
                  <w:rPr>
                    <w:rFonts w:ascii="標楷體" w:eastAsia="標楷體" w:hAnsi="標楷體" w:cs="Gungsuh"/>
                    <w:color w:val="000000"/>
                  </w:rPr>
                  <w:lastRenderedPageBreak/>
                  <w:t>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spacing w:line="300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lastRenderedPageBreak/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5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第四課：音樂的啟示：西方音樂家的</w:t>
            </w:r>
            <w:r w:rsidRPr="00D02DFD">
              <w:rPr>
                <w:rFonts w:ascii="標楷體" w:eastAsia="標楷體" w:hAnsi="標楷體" w:hint="eastAsia"/>
                <w:color w:val="000000"/>
              </w:rPr>
              <w:lastRenderedPageBreak/>
              <w:t>信仰世界(節數：5)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3.課堂討論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673" w:rsidRPr="00D02DFD" w:rsidRDefault="004F0673" w:rsidP="00D02DFD">
            <w:pPr>
              <w:suppressAutoHyphens w:val="0"/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綜合領域</w:t>
            </w:r>
          </w:p>
        </w:tc>
      </w:tr>
      <w:tr w:rsidR="004F0673" w:rsidTr="004F067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1a"/>
              <w:snapToGrid w:val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D02DFD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第五課：臺灣廟宇的音樂展現：民俗思想起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(節數：5)</w:t>
            </w:r>
          </w:p>
          <w:p w:rsidR="004F0673" w:rsidRPr="00D02DFD" w:rsidRDefault="00592BBB" w:rsidP="00D02DFD">
            <w:pPr>
              <w:rPr>
                <w:rFonts w:ascii="標楷體" w:eastAsia="標楷體" w:hAnsi="標楷體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音1-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-1能理解音樂符號並回應指揮，進行歌唱及演奏，展現音樂美感意識。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音2-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-1能使用適當的音樂語彙，賞析各類音樂作品，體會藝術文化之美。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音2-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-2能透過討論，以探究樂曲創作背景與社會文化的關聯及其意義，表達多元觀點。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音E-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-2樂器的構造、發音原理、演奏技巧，以及不同的演奏形式。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音E-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-3音樂符號與術語、記譜法或簡易音樂軟體。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音E-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-4音樂元素，如：音色、調式、和聲等。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音A-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音P-</w:t>
            </w:r>
            <w:r w:rsidRPr="00D02D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Ⅳ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-2在地人文關懷與全球藝術文化相關議題。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3.</w:t>
            </w:r>
            <w:r w:rsidRPr="00D02DFD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課堂討論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4.紙筆測驗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Calibri"/>
                <w:color w:val="ED7D31"/>
                <w:sz w:val="20"/>
                <w:szCs w:val="20"/>
              </w:rPr>
              <w:t>【人權教育】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人J5瞭解社會上有不同的群體和文化，尊重並欣賞其差異。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Calibri"/>
                <w:color w:val="ED7D31"/>
                <w:sz w:val="20"/>
                <w:szCs w:val="20"/>
              </w:rPr>
              <w:t>【生命教育】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生J9宗教信仰在生活與生命中的價值。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4F0673" w:rsidTr="004F067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1a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11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15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第六課：音樂家之歌：揮灑生命的樂章</w:t>
            </w:r>
          </w:p>
          <w:p w:rsidR="004F0673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(節數：5)</w:t>
            </w:r>
          </w:p>
          <w:p w:rsidR="00592BBB" w:rsidRPr="00D02DFD" w:rsidRDefault="00592BBB" w:rsidP="00D02DF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音E-Ⅳ-2樂器的構造、發音原理、演奏技巧，以及不同的演奏形式。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音E-Ⅳ-4音樂元素，如：音色、調式、和聲等。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3.課堂討論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4.分組報告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【生命教育】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生J4瞭解自己的渴望與追求，如何以適當的方法達成目標。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【閱讀教育】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閱J5活用文本，認識並運用滿足基本生活需求所使用之文本。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4F0673" w:rsidTr="003E433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spacing w:line="300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16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21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b/>
                <w:bCs/>
                <w:color w:val="000000"/>
              </w:rPr>
              <w:t>廣告創意無限加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b/>
                <w:bCs/>
                <w:color w:val="000000"/>
              </w:rPr>
              <w:t>第2課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用音樂打動人心：廣告聽音閱</w:t>
            </w:r>
          </w:p>
          <w:p w:rsidR="004F0673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(節數：5)</w:t>
            </w:r>
          </w:p>
          <w:p w:rsidR="00592BBB" w:rsidRPr="00D02DFD" w:rsidRDefault="00592BBB" w:rsidP="00D02DF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音E-Ⅳ-3音樂符號與術語、記譜法或簡易音樂軟體。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音E-Ⅳ-4音樂元素，如：音色、調式、和聲等。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3.課堂討論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4.活動紀錄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5.配樂作品發表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【性別平等教育】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性J6探究各種符號中的性別意涵及人際溝通中的性別問題。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科技領域</w:t>
            </w:r>
          </w:p>
        </w:tc>
      </w:tr>
      <w:tr w:rsidR="004F0673" w:rsidTr="004F067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AB1FD7" w:rsidP="00D02DFD">
            <w:pPr>
              <w:spacing w:line="396" w:lineRule="auto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4F0673" w:rsidRPr="00D02DFD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spacing w:line="300" w:lineRule="auto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5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第四課：雋永的愛情樂章：走入管弦樂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（節數：5）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音E-Ⅳ-1多元形式歌曲。基礎歌唱技巧，如：發聲技巧、表情等。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音E-Ⅳ-2樂器的構造、發音原理、演奏技巧，以及不同的演奏形式。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音E-Ⅳ-3音樂符號與術語、記譜法或簡易音樂軟體。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音E-Ⅳ-5基礎指揮。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3.課堂討論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【品德教育】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品J1以透過樂團間的分工與表現方式，培養學生相互間自律負責的態度。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綜合領域</w:t>
            </w:r>
          </w:p>
        </w:tc>
      </w:tr>
      <w:tr w:rsidR="004F0673" w:rsidTr="004F067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1a"/>
              <w:snapToGrid w:val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D02DFD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第五課：愛戀彩蝶：傳奇不朽的東方愛情戲曲</w:t>
            </w:r>
          </w:p>
          <w:p w:rsidR="004F0673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（節數：5）</w:t>
            </w:r>
          </w:p>
          <w:p w:rsidR="00592BBB" w:rsidRPr="00D02DFD" w:rsidRDefault="00592BBB" w:rsidP="00D02DFD">
            <w:pPr>
              <w:widowControl/>
              <w:suppressAutoHyphens w:val="0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音E-Ⅳ-1多元形式歌曲。基礎歌唱技巧，如：發聲技巧、表情等。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音E-Ⅳ-2樂器的構造、發音原理、演奏技巧，以及不同的演奏形式。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音A-Ⅳ-2相關音樂語彙，如音色、和聲等描述音樂元素之音樂術語，或相關之一般性用語。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 P-Ⅳ-1音樂與跨領域藝術文化活動。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3.課堂討論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4.分組報告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【性別平等教育】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性J3藉由東方經典戲曲的介紹，檢討在人文倫理上產生的偏見。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綜合領域</w:t>
            </w:r>
          </w:p>
        </w:tc>
      </w:tr>
      <w:tr w:rsidR="004F0673" w:rsidTr="004F067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1a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11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P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15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第六課：愛到深處無怨尤：西方歌劇的愛恨情仇</w:t>
            </w:r>
          </w:p>
          <w:p w:rsidR="004F0673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（節數：5節）</w:t>
            </w:r>
          </w:p>
          <w:p w:rsidR="00592BBB" w:rsidRPr="00D02DFD" w:rsidRDefault="00592BBB" w:rsidP="00592BBB">
            <w:pPr>
              <w:widowControl/>
              <w:suppressAutoHyphens w:val="0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音E-Ⅳ-1多元形式歌曲。基礎歌唱技巧，如：發聲技巧、表情等。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音E-Ⅳ-2樂器的構造、發音原理、演奏技巧，以及不同的演奏形式。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3.教師提問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ED7D31"/>
                <w:kern w:val="0"/>
                <w:sz w:val="20"/>
                <w:szCs w:val="20"/>
              </w:rPr>
              <w:t>【性別平等教育】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性J11藉由西方經典戲劇音樂的認識，瞭解性別權力關係的問題，省思彼此互動的重要性。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綜合領域</w:t>
            </w:r>
          </w:p>
        </w:tc>
      </w:tr>
      <w:tr w:rsidR="004F0673" w:rsidTr="004F067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Default="004F0673" w:rsidP="00592BBB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/>
                <w:color w:val="000000"/>
              </w:rPr>
              <w:t>第</w:t>
            </w:r>
            <w:r w:rsidRPr="00D02DFD">
              <w:rPr>
                <w:rFonts w:ascii="標楷體" w:eastAsia="標楷體" w:hAnsi="標楷體" w:hint="eastAsia"/>
                <w:color w:val="000000"/>
              </w:rPr>
              <w:t>16</w:t>
            </w:r>
            <w:r w:rsidRPr="00D02DFD"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 w:rsidR="00D02DFD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592BBB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0</w:t>
            </w:r>
            <w:r w:rsidRPr="00D02DFD">
              <w:rPr>
                <w:rFonts w:ascii="標楷體" w:eastAsia="標楷體" w:hAnsi="標楷體"/>
                <w:color w:val="000000"/>
              </w:rPr>
              <w:t>週</w:t>
            </w:r>
          </w:p>
          <w:p w:rsidR="00592BBB" w:rsidRPr="00D02DFD" w:rsidRDefault="00592BBB" w:rsidP="00592BBB">
            <w:pPr>
              <w:spacing w:line="300" w:lineRule="auto"/>
              <w:rPr>
                <w:rFonts w:ascii="標楷體" w:eastAsia="標楷體" w:hAnsi="標楷體" w:hint="eastAsia"/>
              </w:rPr>
            </w:pPr>
            <w:bookmarkStart w:id="1" w:name="_GoBack"/>
            <w:bookmarkEnd w:id="1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小電影大道理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第3課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當代愛情面面觀：透視音樂劇電影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(節數：5)</w:t>
            </w:r>
          </w:p>
          <w:p w:rsidR="004F0673" w:rsidRPr="00D02DFD" w:rsidRDefault="00592BBB" w:rsidP="00592BBB">
            <w:pPr>
              <w:rPr>
                <w:rFonts w:ascii="標楷體" w:eastAsia="標楷體" w:hAnsi="標楷體"/>
                <w:color w:val="00000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音1-Ⅳ-2能融入傳統、當代或流行音樂的風格，改編樂曲，以表達觀點。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音E-Ⅳ-3音樂符號與術語、記譜法或簡易音樂軟體。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音P-Ⅳ-1音樂與跨領域藝術文化活動。</w:t>
            </w:r>
          </w:p>
          <w:p w:rsidR="004F0673" w:rsidRPr="00D02DFD" w:rsidRDefault="004F0673" w:rsidP="00D02DFD">
            <w:pPr>
              <w:widowControl/>
              <w:suppressAutoHyphens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2D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音P-Ⅳ-2在地人文關懷與全球藝術文化相關議題。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1.歷程性評量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2.總結性評量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3.學生自我檢核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ED7D31"/>
                <w:sz w:val="20"/>
                <w:szCs w:val="20"/>
              </w:rPr>
              <w:t>【品德教育】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品J9透過經典的音樂故事來彰顯倫理的價值，以期培養出道德發展與判斷的知能。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ED7D31"/>
                <w:sz w:val="20"/>
                <w:szCs w:val="20"/>
              </w:rPr>
              <w:t>【人權教育】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人J7透過音樂劇電影的劇情來闡述人權的基本概念與價值，以培養出尊重人權的行為。</w:t>
            </w:r>
          </w:p>
          <w:p w:rsidR="004F0673" w:rsidRPr="00D02DFD" w:rsidRDefault="004F0673" w:rsidP="00D02DF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02DFD">
              <w:rPr>
                <w:rFonts w:ascii="標楷體" w:eastAsia="標楷體" w:hAnsi="標楷體" w:hint="eastAsia"/>
                <w:color w:val="ED7D31"/>
                <w:sz w:val="20"/>
                <w:szCs w:val="20"/>
              </w:rPr>
              <w:t>【性別平等教育】</w:t>
            </w:r>
          </w:p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</w:t>
            </w:r>
            <w:r w:rsidRPr="00D02DFD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D02D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利用音樂劇電影的插曲讓學生認識生理性別、性傾向、性別特質與性別認同的多元樣貌。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4F0673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D02DF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4F0673" w:rsidRPr="00D02DFD" w:rsidRDefault="004F0673" w:rsidP="00D02DF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4F0673" w:rsidP="00D02DFD">
            <w:pPr>
              <w:pStyle w:val="Web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音樂教室</w:t>
            </w:r>
          </w:p>
          <w:p w:rsidR="004F0673" w:rsidRPr="00D02DFD" w:rsidRDefault="004F0673" w:rsidP="00D02DFD">
            <w:pPr>
              <w:pStyle w:val="Web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電腦設備</w:t>
            </w:r>
          </w:p>
          <w:p w:rsidR="004F0673" w:rsidRPr="00D02DFD" w:rsidRDefault="004F0673" w:rsidP="00D02DFD">
            <w:pPr>
              <w:pStyle w:val="Web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投影設備</w:t>
            </w:r>
          </w:p>
          <w:p w:rsidR="00D02DFD" w:rsidRDefault="004F0673" w:rsidP="00D02DFD">
            <w:pPr>
              <w:pStyle w:val="Web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麥克風</w:t>
            </w:r>
          </w:p>
          <w:p w:rsidR="004F0673" w:rsidRPr="00D02DFD" w:rsidRDefault="004F0673" w:rsidP="00D02DFD">
            <w:pPr>
              <w:pStyle w:val="Web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D02DFD">
              <w:rPr>
                <w:rFonts w:ascii="標楷體" w:eastAsia="標楷體" w:hAnsi="標楷體" w:hint="eastAsia"/>
                <w:color w:val="000000"/>
              </w:rPr>
              <w:t>音響設備</w:t>
            </w:r>
          </w:p>
        </w:tc>
      </w:tr>
      <w:tr w:rsidR="004F0673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73" w:rsidRPr="00D02DFD" w:rsidRDefault="004F0673" w:rsidP="004F067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73" w:rsidRPr="00D02DFD" w:rsidRDefault="006A35D9" w:rsidP="00665B04">
            <w:pPr>
              <w:rPr>
                <w:rFonts w:ascii="標楷體" w:eastAsia="標楷體" w:hAnsi="標楷體" w:cs="標楷體"/>
                <w:color w:val="000000"/>
              </w:rPr>
            </w:pPr>
            <w:r w:rsidRPr="00D02DFD"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FD7" w:rsidRDefault="00AB1FD7">
      <w:r>
        <w:separator/>
      </w:r>
    </w:p>
  </w:endnote>
  <w:endnote w:type="continuationSeparator" w:id="0">
    <w:p w:rsidR="00AB1FD7" w:rsidRDefault="00AB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592BBB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FD7" w:rsidRDefault="00AB1FD7">
      <w:r>
        <w:separator/>
      </w:r>
    </w:p>
  </w:footnote>
  <w:footnote w:type="continuationSeparator" w:id="0">
    <w:p w:rsidR="00AB1FD7" w:rsidRDefault="00AB1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71FC6"/>
    <w:multiLevelType w:val="multilevel"/>
    <w:tmpl w:val="663C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16183E"/>
    <w:rsid w:val="002D0BF3"/>
    <w:rsid w:val="003A337B"/>
    <w:rsid w:val="004155DB"/>
    <w:rsid w:val="004E7D0D"/>
    <w:rsid w:val="004F0673"/>
    <w:rsid w:val="00592BBB"/>
    <w:rsid w:val="00643F11"/>
    <w:rsid w:val="006534F5"/>
    <w:rsid w:val="00665B04"/>
    <w:rsid w:val="006A35D9"/>
    <w:rsid w:val="0080665D"/>
    <w:rsid w:val="0094512F"/>
    <w:rsid w:val="009A7B2F"/>
    <w:rsid w:val="00AB1FD7"/>
    <w:rsid w:val="00C33375"/>
    <w:rsid w:val="00D02DFD"/>
    <w:rsid w:val="00D96A7F"/>
    <w:rsid w:val="00DA2BE3"/>
    <w:rsid w:val="00E3591A"/>
    <w:rsid w:val="00E46A27"/>
    <w:rsid w:val="00EC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8A98E"/>
  <w15:docId w15:val="{676C88C9-574A-4C78-A73C-49230CF6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2022-07-01T07:48:00Z</dcterms:created>
  <dcterms:modified xsi:type="dcterms:W3CDTF">2022-07-01T07:48:00Z</dcterms:modified>
</cp:coreProperties>
</file>