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EA73E8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6534ED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9B5906" w:rsidRPr="009B5906">
        <w:rPr>
          <w:rFonts w:ascii="標楷體" w:eastAsia="標楷體" w:hAnsi="標楷體"/>
          <w:color w:val="FF0000"/>
          <w:sz w:val="32"/>
          <w:szCs w:val="32"/>
        </w:rPr>
        <w:t>社會</w:t>
      </w:r>
      <w:r>
        <w:rPr>
          <w:rFonts w:ascii="標楷體" w:eastAsia="標楷體" w:hAnsi="標楷體"/>
          <w:sz w:val="32"/>
          <w:szCs w:val="32"/>
        </w:rPr>
        <w:t>領域</w:t>
      </w:r>
      <w:r w:rsidR="009B5906" w:rsidRPr="009B5906">
        <w:rPr>
          <w:rFonts w:ascii="標楷體" w:eastAsia="標楷體" w:hAnsi="標楷體"/>
          <w:color w:val="FF0000"/>
          <w:sz w:val="32"/>
          <w:szCs w:val="32"/>
        </w:rPr>
        <w:t>地理</w:t>
      </w:r>
      <w:r w:rsidR="009B5906">
        <w:rPr>
          <w:rFonts w:ascii="標楷體" w:eastAsia="標楷體" w:hAnsi="標楷體"/>
          <w:sz w:val="32"/>
          <w:szCs w:val="32"/>
        </w:rPr>
        <w:t>科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6534ED">
              <w:rPr>
                <w:rFonts w:ascii="標楷體" w:eastAsia="標楷體" w:hAnsi="標楷體" w:hint="eastAsia"/>
                <w:color w:val="000000"/>
              </w:rPr>
              <w:t>▓</w:t>
            </w:r>
            <w:r>
              <w:rPr>
                <w:rFonts w:ascii="標楷體" w:eastAsia="標楷體" w:hAnsi="標楷體"/>
                <w:color w:val="000000"/>
              </w:rPr>
              <w:t>社會(□歷史</w:t>
            </w:r>
            <w:r w:rsidR="006534ED">
              <w:rPr>
                <w:rFonts w:ascii="標楷體" w:eastAsia="標楷體" w:hAnsi="標楷體" w:hint="eastAsia"/>
                <w:color w:val="000000"/>
              </w:rPr>
              <w:t>▓</w:t>
            </w:r>
            <w:r>
              <w:rPr>
                <w:rFonts w:ascii="標楷體" w:eastAsia="標楷體" w:hAnsi="標楷體"/>
                <w:color w:val="000000"/>
              </w:rPr>
              <w:t>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6534ED">
              <w:rPr>
                <w:rFonts w:ascii="標楷體" w:eastAsia="標楷體" w:hAnsi="標楷體" w:hint="eastAsia"/>
                <w:color w:val="000000"/>
              </w:rPr>
              <w:t>▓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6534ED" w:rsidP="006534ED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6534ED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0E7C20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6534ED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節</w:t>
            </w:r>
            <w:bookmarkStart w:id="0" w:name="_GoBack"/>
            <w:bookmarkEnd w:id="0"/>
          </w:p>
        </w:tc>
      </w:tr>
      <w:tr w:rsidR="00552AA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8143C" w:rsidRDefault="00A8143C" w:rsidP="00A8143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社-J-A2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覺察人類生活相關議題,進而分析判斷及反思,並嘗試改善或解決問題。</w:t>
            </w:r>
          </w:p>
          <w:p w:rsidR="00552AA7" w:rsidRDefault="00A8143C" w:rsidP="00A8143C"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社-J-C3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尊重並欣賞各族群文化的多樣性,了解文化間的相互關聯以及臺灣與國際社會的互動</w:t>
            </w: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關係。</w:t>
            </w:r>
          </w:p>
        </w:tc>
      </w:tr>
      <w:tr w:rsidR="00552AA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8143C" w:rsidRDefault="00A8143C" w:rsidP="00A8143C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1.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增進對地理知識的探究與理解能力。</w:t>
            </w:r>
          </w:p>
          <w:p w:rsidR="00A8143C" w:rsidRDefault="00A8143C" w:rsidP="00A8143C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2.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提升獨立思考、價值判斷、理性決定與創新應變的素養。</w:t>
            </w:r>
          </w:p>
          <w:p w:rsidR="00552AA7" w:rsidRPr="00A8143C" w:rsidRDefault="00A8143C" w:rsidP="00A8143C">
            <w:pPr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 xml:space="preserve">3. </w:t>
            </w:r>
            <w:r w:rsidRPr="00A8143C">
              <w:rPr>
                <w:rFonts w:ascii="新細明體" w:hAnsi="新細明體" w:hint="eastAsia"/>
                <w:color w:val="000000"/>
                <w:sz w:val="20"/>
                <w:szCs w:val="20"/>
              </w:rPr>
              <w:t>培養對於族群、社會、地方、國家和世界的覺知,並涵育具有肯認多元、重視人權和關懷全球永續的責任意識。</w:t>
            </w:r>
          </w:p>
        </w:tc>
      </w:tr>
      <w:tr w:rsidR="00552AA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可分單元合併數週整合敘寫或依各週次進度敘寫。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  <w:r w:rsidR="00906F0A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  <w:r w:rsidR="00906F0A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552AA7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D24077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D24077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D24077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第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1</w:t>
            </w:r>
            <w:r>
              <w:rPr>
                <w:rFonts w:ascii="PMingLiu" w:hAnsi="PMingLiu"/>
                <w:color w:val="000000"/>
                <w:sz w:val="16"/>
                <w:szCs w:val="16"/>
              </w:rPr>
              <w:t>課漠南非洲的自然環境與傳統文化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077" w:rsidRDefault="00D24077" w:rsidP="00D24077">
            <w:pPr>
              <w:pStyle w:val="Web"/>
              <w:spacing w:before="0" w:after="0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地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1a-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-1: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說明重要地理現象分布特性的成因。</w:t>
            </w:r>
          </w:p>
          <w:p w:rsidR="00D24077" w:rsidRDefault="00D24077" w:rsidP="00D24077">
            <w:pPr>
              <w:pStyle w:val="Web"/>
              <w:spacing w:before="0" w:after="0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地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1b-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-1: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解析自然環境與人文景觀的相互關係。</w:t>
            </w:r>
          </w:p>
          <w:p w:rsidR="00552AA7" w:rsidRDefault="00D24077" w:rsidP="00D24077">
            <w:r>
              <w:rPr>
                <w:rFonts w:cs="Calibri"/>
                <w:color w:val="000000"/>
                <w:sz w:val="16"/>
                <w:szCs w:val="16"/>
              </w:rPr>
              <w:t>社</w:t>
            </w:r>
            <w:r>
              <w:rPr>
                <w:rFonts w:cs="Calibri"/>
                <w:color w:val="000000"/>
                <w:sz w:val="16"/>
                <w:szCs w:val="16"/>
              </w:rPr>
              <w:t>2b-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rFonts w:cs="Calibri"/>
                <w:color w:val="000000"/>
                <w:sz w:val="16"/>
                <w:szCs w:val="16"/>
              </w:rPr>
              <w:t>-2:</w:t>
            </w:r>
            <w:r>
              <w:rPr>
                <w:rFonts w:cs="Calibri"/>
                <w:color w:val="000000"/>
                <w:sz w:val="16"/>
                <w:szCs w:val="16"/>
              </w:rPr>
              <w:t>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AA7" w:rsidRDefault="00D24077">
            <w:r>
              <w:rPr>
                <w:rFonts w:cs="Calibri"/>
                <w:color w:val="000000"/>
                <w:sz w:val="16"/>
                <w:szCs w:val="16"/>
              </w:rPr>
              <w:t>地</w:t>
            </w:r>
            <w:r>
              <w:rPr>
                <w:rFonts w:cs="Calibri"/>
                <w:color w:val="000000"/>
                <w:sz w:val="16"/>
                <w:szCs w:val="16"/>
              </w:rPr>
              <w:t>Bg-</w:t>
            </w:r>
            <w:r>
              <w:rPr>
                <w:rFonts w:ascii="細明體" w:eastAsia="細明體" w:hAnsi="細明體" w:cs="細明體" w:hint="eastAsia"/>
                <w:color w:val="000000"/>
                <w:sz w:val="16"/>
                <w:szCs w:val="16"/>
              </w:rPr>
              <w:t>Ⅳ</w:t>
            </w:r>
            <w:r>
              <w:rPr>
                <w:rFonts w:cs="Calibri"/>
                <w:color w:val="000000"/>
                <w:sz w:val="16"/>
                <w:szCs w:val="16"/>
              </w:rPr>
              <w:t>-1:</w:t>
            </w:r>
            <w:r>
              <w:rPr>
                <w:rFonts w:cs="Calibri"/>
                <w:color w:val="000000"/>
                <w:sz w:val="16"/>
                <w:szCs w:val="16"/>
              </w:rPr>
              <w:t>自然環境與資源。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077" w:rsidRPr="00D24077" w:rsidRDefault="00D24077" w:rsidP="00D2407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24077" w:rsidRPr="00D24077" w:rsidRDefault="00D24077" w:rsidP="00D2407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24077" w:rsidRPr="00D24077" w:rsidRDefault="00D24077" w:rsidP="00D2407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552AA7" w:rsidRDefault="00552AA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077" w:rsidRPr="00D24077" w:rsidRDefault="00D24077" w:rsidP="00D2407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【多元文化教育】</w:t>
            </w:r>
          </w:p>
          <w:p w:rsidR="00D24077" w:rsidRPr="00D24077" w:rsidRDefault="00D24077" w:rsidP="00D2407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多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J5: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了解及尊重不同文化的習俗與禁忌。</w:t>
            </w:r>
          </w:p>
          <w:p w:rsidR="00552AA7" w:rsidRPr="00D24077" w:rsidRDefault="00552AA7">
            <w:pPr>
              <w:suppressAutoHyphens w:val="0"/>
              <w:textAlignment w:val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F964B7" w:rsidTr="00D60DC4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第1課漠南非洲的自然環境與傳統文化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地Bg-Ⅳ-1:自然環境與資源。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地Bg-Ⅳ-2:漠南非洲的文化特色與影響。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多J5:了解及尊重不同文化的習俗與禁忌。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第1課漠南非洲的自然環境與傳統文化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地Bg-Ⅳ-2:漠南非洲的文化特色與影響。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多J5:了解及尊重不同文化的習俗與禁忌。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第2課漠南非洲的發展與挑戰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環J6:了解世界人口數量增加、糧食供給與營養的永續議題。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第2課漠南非洲的發展與挑戰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環J6:了解世界人口數量增加、糧食供給與營養的永續議題。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</w:t>
            </w: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第2課漠南非洲的發展與挑戰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地Bg-Ⅳ-4:問題探究：漠南非洲的公平貿易議題。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環J6:了解世界人口數量增加、糧食供給與營養的永續議題。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【第一次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】複習第一單元第1-2課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地Bg-Ⅳ-1:自然環境與資源。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地Bg-Ⅳ-2:漠南非洲的文化特色與影響。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地Bg-Ⅳ-3:現代經濟的發展與挑戰。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地Bg-Ⅳ-4:問題探究：漠南非洲的公平貿易議題。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第3課歐洲(一)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地Bh-Ⅳ-1:自然環境背景。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【國際教育】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國J4:尊重與欣賞世界不同文化的價值。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第3課歐洲(一)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</w:t>
            </w: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如何運用該詞彙與他人進行溝通。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【國際教育】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國J4:尊重與欣賞世界不同文化的價值。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第3課歐洲(一)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【國際教育】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國J4:尊重與欣賞世界不同文化的價值。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第4課歐洲(二)與俄羅斯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【能源教育】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能J1:認識國內外能源議題。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第4課歐洲(二)與俄羅斯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地Bh-Ⅳ-1:自然環境背景。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【能源教育】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能J1:認識國內外能源議題。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第4課歐洲(二)與俄羅斯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地1b-Ⅳ-2:歸納自然與人文環境互動的結果。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地Bh-Ⅳ-4:問題探究：歐洲發展綠能的原因與條件。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【能源教育】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能J1:認識國內外能源議題。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</w:t>
            </w: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F964B7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【第二次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】複習第一單元第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-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地Bh-Ⅳ-1:自然環境背景。</w:t>
            </w:r>
          </w:p>
          <w:p w:rsidR="00F964B7" w:rsidRDefault="00F964B7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地Bh-Ⅳ-2:產業活動的發展與文化特色。</w:t>
            </w:r>
          </w:p>
          <w:p w:rsidR="00F964B7" w:rsidRPr="00CD5F2C" w:rsidRDefault="00F964B7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地Bh-Ⅳ-3:現代經濟的發展與區域結盟。</w:t>
            </w:r>
          </w:p>
          <w:p w:rsidR="00F964B7" w:rsidRPr="0052708D" w:rsidRDefault="00F964B7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地Bh-Ⅳ-4:問題探究：歐洲發展綠能的原因與條件。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第5課北美洲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地Bi-Ⅳ-1:自然環境背景。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多J8:探討不同文化接觸時可能產生的衝突、融合或創新。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第5課北美洲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地1a-Ⅳ-1:說明重要地理現象分布特性的成因。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多J8:探討不同文化接觸時可能產生的衝突、融合或創新。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地Bi-Ⅳ-1:自然環境背景。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</w:t>
            </w: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地Bi-Ⅳ-4:問題探究：南美洲熱帶雨林的開發與保育。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D60DC4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第6課中南美洲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地1a-Ⅳ-2:說明重要環境、經濟與文化議題間的相互關係。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地1b-Ⅳ-1:解析自然環境與人文景觀的相互關係。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地Bi-Ⅳ-4:問題探究：南美洲熱帶雨林的開發與保育。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環J4:了解永續發展的意義(環境、社會與經濟的均衡發展)與原則。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多J8:探討不同文化接觸時可能產生的衝突、融合或創新。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【閱讀素養教育】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閱J3:理解學科知識內的重要詞彙的意涵，並懂得如何運用該詞彙</w:t>
            </w: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193B8C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  <w:sz w:val="20"/>
                <w:szCs w:val="20"/>
              </w:rPr>
              <w:lastRenderedPageBreak/>
              <w:t>社會領域歷史科</w:t>
            </w:r>
          </w:p>
        </w:tc>
      </w:tr>
      <w:tr w:rsidR="00F964B7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64B7" w:rsidRDefault="00F964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52708D" w:rsidRDefault="00F964B7" w:rsidP="00F964B7">
            <w:pPr>
              <w:snapToGrid w:val="0"/>
              <w:rPr>
                <w:rFonts w:ascii="新細明體" w:hAnsi="新細明體"/>
                <w:sz w:val="16"/>
                <w:szCs w:val="16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三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】複習第一單元第5-6課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社1b-Ⅳ-1:應用社會領域內容知識解析生活經驗或社會現象。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社2a-Ⅳ-3:關心不同的社會文化及其發展，並展現開闊的世界觀。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社2b-Ⅳ-2:尊重不同群體文化的差異性，並欣賞其文化之美。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社2b-Ⅳ-3:重視環境倫理，並願意維護生態的多樣性。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地Bi-Ⅳ-1:自然環境背景。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地Bi-Ⅳ-2:移民與產業活動的發展。</w:t>
            </w:r>
          </w:p>
          <w:p w:rsidR="00F964B7" w:rsidRPr="00CD5F2C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地Bi-Ⅳ-3:經濟發展的區域差異。</w:t>
            </w:r>
          </w:p>
          <w:p w:rsidR="00F964B7" w:rsidRPr="0052708D" w:rsidRDefault="00F964B7" w:rsidP="00D60DC4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地Bi-Ⅳ-4:問題探究：南美洲熱帶雨林的開發與保育。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Pr="00D24077" w:rsidRDefault="00F964B7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F964B7" w:rsidRP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4B7" w:rsidRDefault="00F964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C16E6E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 w:rsidP="00D60DC4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D24077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52708D" w:rsidRDefault="00D956CE" w:rsidP="00CE70CC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第1課臺灣的地名起源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地Ca-Ⅳ-1:「臺灣」地名的由來與指涉範圍的演變。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地Ca-Ⅳ-3:聚落地名的命名與環境、族群文化的關係。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1.教師觀察</w:t>
            </w:r>
          </w:p>
          <w:p w:rsidR="00D956CE" w:rsidRPr="00D35C1D" w:rsidRDefault="00D956CE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2.自我評量</w:t>
            </w:r>
          </w:p>
          <w:p w:rsidR="00D956CE" w:rsidRDefault="00D956CE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3.紙筆測驗</w:t>
            </w:r>
          </w:p>
          <w:p w:rsidR="00D956CE" w:rsidRPr="0052708D" w:rsidRDefault="00D956CE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【人權教育】</w:t>
            </w:r>
          </w:p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人J5:了解社會上有不同的群體和文化，尊重並欣賞其差異。</w:t>
            </w:r>
          </w:p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多J1:珍惜並維護我族文化。</w:t>
            </w:r>
          </w:p>
          <w:p w:rsidR="00D956CE" w:rsidRPr="0052708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多J2:關懷我族文化遺產的傳承與興革。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3C2" w:rsidRPr="003B33C2" w:rsidRDefault="003B33C2" w:rsidP="003B33C2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C16E6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spacing w:line="396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8A4446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52708D" w:rsidRDefault="00D956CE" w:rsidP="00CE70CC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課臺灣行政區名的由來與變遷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社2c-Ⅳ-3:欣賞並願意維護自然與人文之美。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地Ca-Ⅳ-2:鄉鎮市區（或縣市）地名的由來與變遷。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地Ca-Ⅳ-4:問題探究：地名和生產活動、產物命名等商品行銷的關係。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【人權教育】</w:t>
            </w:r>
          </w:p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人J5:了解社會上有不同的群體和文化，尊重並欣賞其差異。</w:t>
            </w:r>
          </w:p>
          <w:p w:rsidR="00D956CE" w:rsidRPr="00D35C1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【多元文化教育】</w:t>
            </w:r>
          </w:p>
          <w:p w:rsidR="00D956CE" w:rsidRPr="0052708D" w:rsidRDefault="00D956CE" w:rsidP="00CE70CC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多J6:分析不同群體的文化如何影響社會與生活方式。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3C2" w:rsidRPr="003B33C2" w:rsidRDefault="003B33C2" w:rsidP="003B33C2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FD7B4F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8A4446">
            <w:pPr>
              <w:pStyle w:val="1b"/>
              <w:snapToGrid w:val="0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52708D" w:rsidRDefault="00D956CE" w:rsidP="00CE70CC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2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課臺灣行政區名的由來與變遷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社2c-Ⅳ-3:欣賞並願意維護自然與人文之美。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地Ca-Ⅳ-2:鄉鎮市區（或縣市）地名的由來與變遷。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地Ca-Ⅳ-4:問題探究：地名和生產活動、產物命名等商品行銷的關係。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3C2" w:rsidRPr="003B33C2" w:rsidRDefault="003B33C2" w:rsidP="003B33C2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rFonts w:cs="Calibri"/>
                <w:color w:val="000000"/>
                <w:kern w:val="0"/>
                <w:sz w:val="16"/>
                <w:szCs w:val="16"/>
              </w:rPr>
              <w:lastRenderedPageBreak/>
              <w:t>語文領域國文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AF43B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8A444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52708D" w:rsidRDefault="00D956CE" w:rsidP="00CE70CC">
            <w:pPr>
              <w:snapToGrid w:val="0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課臺灣的農業與食品生產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地Cb-Ⅳ-1:農業生產與地理環境。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地Cb-Ⅳ-3:飲食文化與食品加工、基因改造食物。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3C2" w:rsidRPr="003B33C2" w:rsidRDefault="003B33C2" w:rsidP="003B33C2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AF43BC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3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課臺灣的農業與食品生產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地1b-Ⅳ-1:解析自然環境與人文景觀的相互關係。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地Cb-Ⅳ-1:農業生產與地理環境。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地Cb-Ⅳ-3:飲食文化與食品加工、基因改造食物。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3C2" w:rsidRPr="003B33C2" w:rsidRDefault="003B33C2" w:rsidP="003B33C2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rFonts w:cs="Calibri"/>
                <w:color w:val="000000"/>
                <w:kern w:val="0"/>
                <w:sz w:val="16"/>
                <w:szCs w:val="16"/>
              </w:rPr>
              <w:lastRenderedPageBreak/>
              <w:t>語文領域國文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607AE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B5906" w:rsidRPr="009B5906">
              <w:rPr>
                <w:rStyle w:val="1c"/>
                <w:rFonts w:ascii="標楷體" w:hAnsi="標楷體" w:hint="eastAsia"/>
                <w:color w:val="FF0000"/>
                <w:kern w:val="0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課臺灣的食物產銷與食品安全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地Cb-Ⅳ-2:食物運銷與國際貿易。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地Cb-Ⅳ-4:問題探究：從地理觀點探究食安問題的原因與解決策略。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33C2" w:rsidRPr="003B33C2" w:rsidRDefault="003B33C2" w:rsidP="003B33C2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3B33C2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607AE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第</w:t>
            </w: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4</w:t>
            </w:r>
            <w:r w:rsidRPr="00D35C1D"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  <w:t>課臺灣的食物產銷與食品安全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地1a-Ⅳ-2:說明重要環境、經濟與文化議題間的相互關係。</w:t>
            </w:r>
          </w:p>
          <w:p w:rsidR="00D956CE" w:rsidRPr="00D35C1D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地1c-Ⅳ-2:反思各種地理環境與議題的內涵，並提出相關意見。</w:t>
            </w:r>
          </w:p>
          <w:p w:rsidR="00D956CE" w:rsidRPr="00650EBB" w:rsidRDefault="00D956CE" w:rsidP="00CE70CC">
            <w:pPr>
              <w:snapToGrid w:val="0"/>
              <w:jc w:val="both"/>
              <w:rPr>
                <w:rFonts w:ascii="新細明體" w:hAnsi="新細明體"/>
                <w:snapToGrid w:val="0"/>
                <w:kern w:val="0"/>
                <w:sz w:val="16"/>
                <w:szCs w:val="16"/>
              </w:rPr>
            </w:pPr>
            <w:r w:rsidRPr="00D35C1D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社3d-Ⅳ-1:規劃與執行社會領域的問題探究、訪查、創作或展演等活動。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6CE" w:rsidRPr="00D35C1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地Cb-Ⅳ-2:食物運銷與國際貿易。</w:t>
            </w:r>
          </w:p>
          <w:p w:rsidR="00D956CE" w:rsidRPr="0052708D" w:rsidRDefault="00D956CE" w:rsidP="00CE70C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地Cb-Ⅳ-4:問題探究：從地理觀點探究食安問題的原因與解決策略。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【環境教育】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環J15:認識產品的生命週期，探討其生態足跡、水足跡及碳足跡。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【品德教育】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品J3:關懷生活環境與自然生態永續發展</w:t>
            </w:r>
          </w:p>
          <w:p w:rsidR="00D956CE" w:rsidRPr="00D35C1D" w:rsidRDefault="00D956CE" w:rsidP="00D956CE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【生命教育】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AE2726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【第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一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次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段考</w:t>
            </w:r>
            <w:r w:rsidRPr="00CD5F2C"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】複習</w:t>
            </w:r>
            <w:r>
              <w:rPr>
                <w:rFonts w:ascii="新細明體" w:hAnsi="新細明體" w:hint="eastAsia"/>
                <w:snapToGrid w:val="0"/>
                <w:kern w:val="0"/>
                <w:sz w:val="16"/>
                <w:szCs w:val="16"/>
              </w:rPr>
              <w:t>第四冊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9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9B5906">
              <w:rPr>
                <w:rStyle w:val="1c"/>
                <w:rFonts w:ascii="標楷體" w:eastAsia="標楷體" w:hAnsi="標楷體" w:hint="eastAsia"/>
                <w:color w:val="FF0000"/>
                <w:kern w:val="0"/>
                <w:szCs w:val="24"/>
              </w:rPr>
              <w:t>1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9B5906">
              <w:rPr>
                <w:rStyle w:val="1c"/>
                <w:rFonts w:ascii="標楷體" w:eastAsia="標楷體" w:hAnsi="標楷體" w:hint="eastAsia"/>
                <w:color w:val="FF0000"/>
                <w:kern w:val="0"/>
                <w:szCs w:val="24"/>
              </w:rPr>
              <w:t>1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2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956CE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6CE" w:rsidRDefault="00D956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9B590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Pr="009B5906">
              <w:rPr>
                <w:rStyle w:val="1c"/>
                <w:rFonts w:ascii="標楷體" w:eastAsia="標楷體" w:hAnsi="標楷體" w:hint="eastAsia"/>
                <w:color w:val="FF0000"/>
                <w:kern w:val="0"/>
                <w:szCs w:val="24"/>
              </w:rPr>
              <w:t>1</w:t>
            </w:r>
            <w:r w:rsidR="009B5906" w:rsidRPr="009B5906">
              <w:rPr>
                <w:rStyle w:val="1c"/>
                <w:rFonts w:ascii="標楷體" w:eastAsia="標楷體" w:hAnsi="標楷體"/>
                <w:color w:val="FF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複習</w:t>
            </w:r>
          </w:p>
          <w:p w:rsidR="00D956CE" w:rsidRDefault="00D956CE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第一到六冊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D956CE" w:rsidRPr="00D24077" w:rsidRDefault="00D956CE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D956CE" w:rsidRPr="00F964B7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56CE" w:rsidRDefault="00D956C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D956C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教育會考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D24077" w:rsidRDefault="009B5906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9B5906" w:rsidRPr="00D24077" w:rsidRDefault="009B5906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9B5906" w:rsidRPr="00D24077" w:rsidRDefault="009B5906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9B5906" w:rsidRPr="00F964B7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寰宇世界，世界看臺灣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D35C1D" w:rsidRDefault="009B5906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口頭詢問</w:t>
            </w:r>
          </w:p>
          <w:p w:rsidR="009B5906" w:rsidRPr="00D35C1D" w:rsidRDefault="009B5906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.專案報告</w:t>
            </w:r>
          </w:p>
          <w:p w:rsidR="009B5906" w:rsidRPr="00F964B7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.活動報告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自然科學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綜合活動</w:t>
            </w:r>
          </w:p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C60ACC">
            <w:pPr>
              <w:pStyle w:val="Web"/>
              <w:spacing w:before="0" w:after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寰宇世界，世界看臺灣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9B5906" w:rsidRPr="00C60ACC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9B5906" w:rsidRPr="00C60ACC" w:rsidRDefault="009B5906" w:rsidP="00C60A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lastRenderedPageBreak/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9B5906" w:rsidRPr="00C60ACC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D35C1D" w:rsidRDefault="009B5906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lastRenderedPageBreak/>
              <w:t>1.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口頭詢問</w:t>
            </w:r>
          </w:p>
          <w:p w:rsidR="009B5906" w:rsidRPr="00D35C1D" w:rsidRDefault="009B5906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.專案報告</w:t>
            </w:r>
          </w:p>
          <w:p w:rsidR="009B5906" w:rsidRPr="00F964B7" w:rsidRDefault="009B5906" w:rsidP="00D60DC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.活動報告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自然科學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綜合活動</w:t>
            </w:r>
          </w:p>
          <w:p w:rsidR="009B5906" w:rsidRPr="00B53071" w:rsidRDefault="009B5906" w:rsidP="007F28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宇世界，世界看臺灣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9B5906" w:rsidRPr="00C60ACC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9B5906" w:rsidRPr="00C60ACC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D35C1D" w:rsidRDefault="009B5906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1.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口頭詢問</w:t>
            </w:r>
          </w:p>
          <w:p w:rsidR="009B5906" w:rsidRPr="00D35C1D" w:rsidRDefault="009B5906" w:rsidP="00D60DC4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.專案報告</w:t>
            </w:r>
          </w:p>
          <w:p w:rsidR="009B5906" w:rsidRPr="00F964B7" w:rsidRDefault="009B5906" w:rsidP="00D60DC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3</w:t>
            </w:r>
            <w:r w:rsidRPr="00D35C1D">
              <w:rPr>
                <w:rFonts w:asciiTheme="minorEastAsia" w:hAnsiTheme="minorEastAsia" w:hint="eastAsia"/>
                <w:sz w:val="16"/>
                <w:szCs w:val="16"/>
              </w:rPr>
              <w:t>.活動報告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自然科學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綜合活動</w:t>
            </w:r>
          </w:p>
          <w:p w:rsidR="009B5906" w:rsidRPr="00B53071" w:rsidRDefault="009B5906" w:rsidP="007F28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 w:rsidTr="00D60D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PMingLiu" w:hAnsi="PMingLiu"/>
                <w:color w:val="000000"/>
                <w:sz w:val="16"/>
                <w:szCs w:val="16"/>
              </w:rPr>
              <w:t>宇世界，世界看臺灣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-J-A2: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覺察人類生活相關議題，進而分析判斷及反思，並嘗試改善或解決問題。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-J-B1: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運用文字、語言、表格與圖像等表徵符號，表達人類生活的豐富面貌，並能促進相互溝通與理解。</w:t>
            </w:r>
          </w:p>
          <w:p w:rsidR="009B5906" w:rsidRPr="00C60ACC" w:rsidRDefault="009B5906" w:rsidP="00CE70C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說明重要環境、經濟與文化議題間的相互關係。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地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1c-Ⅳ-2: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反思各種地理環境與議題的內涵，並提出相關意見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1a-Ⅳ-1: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發覺生活經驗或社會現象與社會領域內容知識的關係。</w:t>
            </w:r>
          </w:p>
          <w:p w:rsidR="009B5906" w:rsidRPr="00C60ACC" w:rsidRDefault="009B5906" w:rsidP="00CE70CC">
            <w:pPr>
              <w:widowControl/>
              <w:suppressAutoHyphens w:val="0"/>
              <w:autoSpaceDN/>
              <w:jc w:val="both"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社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2a-Ⅳ-2:</w:t>
            </w:r>
            <w:r w:rsidRPr="00C60ACC">
              <w:rPr>
                <w:rFonts w:ascii="PMingLiu" w:hAnsi="PMingLiu" w:cs="新細明體"/>
                <w:color w:val="000000"/>
                <w:kern w:val="0"/>
                <w:sz w:val="16"/>
                <w:szCs w:val="16"/>
              </w:rPr>
              <w:t>關注生活周遭的重要議題及其脈絡，發展本土意識與在地關懷。</w:t>
            </w:r>
          </w:p>
          <w:p w:rsidR="009B5906" w:rsidRPr="00C60ACC" w:rsidRDefault="009B5906" w:rsidP="00CE70C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D24077" w:rsidRDefault="009B5906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1.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教師觀察</w:t>
            </w:r>
          </w:p>
          <w:p w:rsidR="009B5906" w:rsidRPr="00D24077" w:rsidRDefault="009B5906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2.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自我評量</w:t>
            </w:r>
          </w:p>
          <w:p w:rsidR="009B5906" w:rsidRPr="00D24077" w:rsidRDefault="009B5906" w:rsidP="00F964B7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3.</w:t>
            </w:r>
            <w:r w:rsidRPr="00D24077">
              <w:rPr>
                <w:rFonts w:cs="Calibri"/>
                <w:color w:val="000000"/>
                <w:kern w:val="0"/>
                <w:sz w:val="16"/>
                <w:szCs w:val="16"/>
              </w:rPr>
              <w:t>紙筆測驗</w:t>
            </w:r>
          </w:p>
          <w:p w:rsidR="009B5906" w:rsidRPr="00F964B7" w:rsidRDefault="009B5906" w:rsidP="00D60DC4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語文領域國文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自然科學</w:t>
            </w:r>
          </w:p>
          <w:p w:rsidR="009B5906" w:rsidRPr="00B53071" w:rsidRDefault="009B5906" w:rsidP="007F284F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B53071">
              <w:rPr>
                <w:rFonts w:cs="Calibri"/>
                <w:color w:val="000000"/>
                <w:kern w:val="0"/>
                <w:sz w:val="16"/>
                <w:szCs w:val="16"/>
              </w:rPr>
              <w:t>綜合活動</w:t>
            </w:r>
          </w:p>
          <w:p w:rsidR="009B5906" w:rsidRPr="00B53071" w:rsidRDefault="009B5906" w:rsidP="007F28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 w:rsidTr="002F2A52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D5F2C" w:rsidRDefault="009B5906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1.教學投影片</w:t>
            </w:r>
          </w:p>
          <w:p w:rsidR="009B5906" w:rsidRPr="00CD5F2C" w:rsidRDefault="009B5906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2.學習單</w:t>
            </w:r>
          </w:p>
          <w:p w:rsidR="009B5906" w:rsidRPr="00CD5F2C" w:rsidRDefault="009B5906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3.電腦</w:t>
            </w:r>
          </w:p>
          <w:p w:rsidR="009B5906" w:rsidRPr="00CD5F2C" w:rsidRDefault="009B5906" w:rsidP="00F964B7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4.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電子白板</w:t>
            </w:r>
          </w:p>
          <w:p w:rsidR="009B5906" w:rsidRDefault="009B5906" w:rsidP="008A44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D5F2C">
              <w:rPr>
                <w:rFonts w:asciiTheme="minorEastAsia" w:hAnsiTheme="minorEastAsia" w:hint="eastAsia"/>
                <w:sz w:val="16"/>
                <w:szCs w:val="16"/>
              </w:rPr>
              <w:t>5.影音資料與網路資源等相關教學媒體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906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E70C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C60ACC" w:rsidRDefault="009B5906" w:rsidP="00CE70C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F964B7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B53071" w:rsidRDefault="009B5906" w:rsidP="007F284F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B5906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B5906" w:rsidRDefault="009B5906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5906" w:rsidRPr="00AE4668" w:rsidRDefault="009B5906" w:rsidP="00AE4668">
            <w:pPr>
              <w:snapToGrid w:val="0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552AA7" w:rsidRDefault="00552AA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401920" w:rsidRDefault="0040192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080CB0" w:rsidRDefault="00080CB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080CB0" w:rsidSect="00401920">
      <w:footerReference w:type="default" r:id="rId7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33D" w:rsidRDefault="00ED133D">
      <w:r>
        <w:separator/>
      </w:r>
    </w:p>
  </w:endnote>
  <w:endnote w:type="continuationSeparator" w:id="0">
    <w:p w:rsidR="00ED133D" w:rsidRDefault="00ED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DC4" w:rsidRDefault="00D60DC4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0E7C20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D60DC4" w:rsidRDefault="00D60D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33D" w:rsidRDefault="00ED133D">
      <w:r>
        <w:rPr>
          <w:color w:val="000000"/>
        </w:rPr>
        <w:separator/>
      </w:r>
    </w:p>
  </w:footnote>
  <w:footnote w:type="continuationSeparator" w:id="0">
    <w:p w:rsidR="00ED133D" w:rsidRDefault="00ED1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4146E"/>
    <w:rsid w:val="0004421B"/>
    <w:rsid w:val="00080CB0"/>
    <w:rsid w:val="000B7630"/>
    <w:rsid w:val="000E7C20"/>
    <w:rsid w:val="001512F8"/>
    <w:rsid w:val="00193B8C"/>
    <w:rsid w:val="001E0F91"/>
    <w:rsid w:val="002810E4"/>
    <w:rsid w:val="002E3691"/>
    <w:rsid w:val="00391445"/>
    <w:rsid w:val="003A083F"/>
    <w:rsid w:val="003B33C2"/>
    <w:rsid w:val="00401920"/>
    <w:rsid w:val="004154E3"/>
    <w:rsid w:val="004712C7"/>
    <w:rsid w:val="005433EC"/>
    <w:rsid w:val="00552AA7"/>
    <w:rsid w:val="006534ED"/>
    <w:rsid w:val="006738D6"/>
    <w:rsid w:val="008A4446"/>
    <w:rsid w:val="00906F0A"/>
    <w:rsid w:val="00941430"/>
    <w:rsid w:val="009B5906"/>
    <w:rsid w:val="00A431D0"/>
    <w:rsid w:val="00A534A1"/>
    <w:rsid w:val="00A8143C"/>
    <w:rsid w:val="00AA35FA"/>
    <w:rsid w:val="00AD2C61"/>
    <w:rsid w:val="00AE2726"/>
    <w:rsid w:val="00AE4668"/>
    <w:rsid w:val="00B53071"/>
    <w:rsid w:val="00C60ACC"/>
    <w:rsid w:val="00CF6121"/>
    <w:rsid w:val="00D23F16"/>
    <w:rsid w:val="00D24077"/>
    <w:rsid w:val="00D60DC4"/>
    <w:rsid w:val="00D86197"/>
    <w:rsid w:val="00D956CE"/>
    <w:rsid w:val="00DF62DD"/>
    <w:rsid w:val="00E17363"/>
    <w:rsid w:val="00EA73E8"/>
    <w:rsid w:val="00ED133D"/>
    <w:rsid w:val="00F03DD8"/>
    <w:rsid w:val="00F36BDC"/>
    <w:rsid w:val="00F964B7"/>
    <w:rsid w:val="00FC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0C204C-EA7F-4607-94E0-160C67E0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0558">
          <w:marLeft w:val="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1382</Words>
  <Characters>7879</Characters>
  <Application>Microsoft Office Word</Application>
  <DocSecurity>0</DocSecurity>
  <Lines>65</Lines>
  <Paragraphs>18</Paragraphs>
  <ScaleCrop>false</ScaleCrop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17</cp:revision>
  <cp:lastPrinted>2020-02-13T07:28:00Z</cp:lastPrinted>
  <dcterms:created xsi:type="dcterms:W3CDTF">2021-05-29T04:29:00Z</dcterms:created>
  <dcterms:modified xsi:type="dcterms:W3CDTF">2021-06-09T03:21:00Z</dcterms:modified>
</cp:coreProperties>
</file>