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15" w:rsidRDefault="00BF1415">
      <w:pPr>
        <w:pStyle w:val="10"/>
        <w:spacing w:before="208" w:after="208" w:line="400" w:lineRule="auto"/>
        <w:jc w:val="center"/>
        <w:rPr>
          <w:rFonts w:ascii="標楷體" w:eastAsia="標楷體" w:hAnsi="標楷體" w:cs="標楷體"/>
          <w:sz w:val="32"/>
          <w:szCs w:val="32"/>
        </w:rPr>
      </w:pPr>
    </w:p>
    <w:p w:rsidR="00BF1415" w:rsidRDefault="009C09BB" w:rsidP="009D2663">
      <w:pPr>
        <w:pStyle w:val="10"/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學年度藝術領域/視覺藝術科目課程計畫</w:t>
      </w:r>
    </w:p>
    <w:tbl>
      <w:tblPr>
        <w:tblStyle w:val="a5"/>
        <w:tblW w:w="148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1164"/>
        <w:gridCol w:w="1388"/>
        <w:gridCol w:w="3402"/>
        <w:gridCol w:w="709"/>
        <w:gridCol w:w="2693"/>
        <w:gridCol w:w="1559"/>
        <w:gridCol w:w="1418"/>
        <w:gridCol w:w="1134"/>
        <w:gridCol w:w="851"/>
      </w:tblGrid>
      <w:tr w:rsidR="00BF1415">
        <w:trPr>
          <w:gridAfter w:val="1"/>
          <w:wAfter w:w="851" w:type="dxa"/>
          <w:trHeight w:val="689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BF1415" w:rsidRDefault="009C09BB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■藝術(□音樂■視覺藝術□表演藝術)□綜合活動(□家政□童軍□輔導)□科技(□資訊科技□生活科技)</w:t>
            </w:r>
          </w:p>
          <w:p w:rsidR="00BF1415" w:rsidRDefault="009C09BB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BF1415">
        <w:trPr>
          <w:gridAfter w:val="1"/>
          <w:wAfter w:w="851" w:type="dxa"/>
          <w:trHeight w:val="85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BF1415" w:rsidRDefault="009C09BB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■上學期 ■下學期</w:t>
            </w:r>
          </w:p>
        </w:tc>
      </w:tr>
      <w:tr w:rsidR="00BF1415">
        <w:trPr>
          <w:gridAfter w:val="1"/>
          <w:wAfter w:w="851" w:type="dxa"/>
          <w:trHeight w:val="935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奇鼎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BF1415" w:rsidRDefault="009C09BB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□自編教材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一 節</w:t>
            </w:r>
          </w:p>
        </w:tc>
      </w:tr>
      <w:tr w:rsidR="00BF1415">
        <w:trPr>
          <w:gridAfter w:val="1"/>
          <w:wAfter w:w="851" w:type="dxa"/>
          <w:trHeight w:val="624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藝-J-A1參與藝術活動，增進美感知能。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藝-J-A2嘗試設計思考，探索藝術實踐解決問題的途徑。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藝-J-A3嘗試規劃與執行藝術活動，因應情境需求發揮創意。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藝-J-B1應用藝術符號，以表達觀點與風格。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藝-J-B3善用多元感官，探索理解藝術與生活的關聯，以展現美感意識。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藝-J-C1探討藝術活動中社會議題的意義。</w:t>
            </w:r>
          </w:p>
          <w:p w:rsidR="00BF1415" w:rsidRDefault="009C09BB">
            <w:pPr>
              <w:pStyle w:val="10"/>
            </w:pPr>
            <w:r>
              <w:rPr>
                <w:rFonts w:ascii="標楷體" w:eastAsia="標楷體" w:hAnsi="標楷體" w:cs="標楷體"/>
              </w:rPr>
              <w:t>藝-J-C3理解在地及全球藝術與文化的多元與差異。</w:t>
            </w:r>
          </w:p>
        </w:tc>
      </w:tr>
      <w:tr w:rsidR="00BF1415">
        <w:trPr>
          <w:gridAfter w:val="1"/>
          <w:wAfter w:w="851" w:type="dxa"/>
          <w:trHeight w:val="483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八上：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L1凝聚的視線：畫面中的人物</w:t>
            </w:r>
          </w:p>
          <w:p w:rsidR="00BF1415" w:rsidRDefault="009C09BB">
            <w:pPr>
              <w:pStyle w:val="10"/>
              <w:ind w:left="26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學生能理解人物畫的特性及發展過程;並且能透過人類文化，認識人物畫所具有的獨特性及重要性；進而能分辨不同類型及題材的人物畫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並懂得藉由對人物畫的理解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進行人物畫創作，以及表現其外在的特徵、情緒與性格。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L2生活中無所不在：版畫藝術</w:t>
            </w:r>
          </w:p>
          <w:p w:rsidR="00BF1415" w:rsidRDefault="009C09BB">
            <w:pPr>
              <w:pStyle w:val="10"/>
              <w:ind w:left="26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學生能瞭解版畫基本概念及製作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並且能透過認識及欣賞各種版畫作品的表現形式與特色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來創作版畫藝術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作品。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L3 廣告創意無限加-創意想想看：廣告創意</w:t>
            </w:r>
          </w:p>
          <w:p w:rsidR="00BF1415" w:rsidRDefault="009C09BB">
            <w:pPr>
              <w:pStyle w:val="10"/>
              <w:ind w:left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學生能理解廣告視覺傳達美感，並認識廣告創意的類型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同時能懂得鑑賞廣告圖文的編排美感；進而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能透過自身的創意發想設計廣告作品。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八下：</w:t>
            </w:r>
          </w:p>
          <w:p w:rsidR="00BF1415" w:rsidRDefault="009C09BB">
            <w:pPr>
              <w:pStyle w:val="10"/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L1虛幻與真實：動漫</w:t>
            </w:r>
          </w:p>
          <w:p w:rsidR="00BF1415" w:rsidRDefault="009C09BB">
            <w:pPr>
              <w:pStyle w:val="10"/>
              <w:widowControl/>
              <w:ind w:left="269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學生能瞭解漫畫發展脈絡以及認識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動漫與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流行文化的關係和特色；並能藉由認識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動漫與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藝術創作來理解漫畫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進而嘗試進行手繪漫畫入門練習與創作。</w:t>
            </w:r>
          </w:p>
          <w:p w:rsidR="00BF1415" w:rsidRDefault="009C09BB">
            <w:pPr>
              <w:pStyle w:val="10"/>
              <w:widowControl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L2生活中處處可見：雕塑藝術</w:t>
            </w:r>
          </w:p>
          <w:p w:rsidR="00BF1415" w:rsidRDefault="009C09BB">
            <w:pPr>
              <w:pStyle w:val="10"/>
              <w:widowControl/>
              <w:ind w:left="269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學生能認識雕塑基本概念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並能藉由教師對雕塑作品的介紹了解其不同表現形式與特色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進而能懂得鑑賞生活中的雕塑作品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同時藉由對雕塑技法與美感的理解來進行雕塑作品創作。</w:t>
            </w:r>
          </w:p>
          <w:p w:rsidR="00BF1415" w:rsidRDefault="009C09BB">
            <w:pPr>
              <w:pStyle w:val="10"/>
              <w:widowControl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L3小電影大道理</w:t>
            </w:r>
            <w:r>
              <w:rPr>
                <w:rFonts w:ascii="PMingLiu" w:eastAsia="PMingLiu" w:hAnsi="PMingLiu" w:cs="PMingLiu"/>
                <w:color w:val="000000"/>
              </w:rPr>
              <w:t>-</w:t>
            </w:r>
            <w:r>
              <w:rPr>
                <w:rFonts w:ascii="標楷體" w:eastAsia="標楷體" w:hAnsi="標楷體" w:cs="標楷體"/>
                <w:color w:val="000000"/>
              </w:rPr>
              <w:t>看出影像意義：解讀電影</w:t>
            </w:r>
          </w:p>
          <w:p w:rsidR="00BF1415" w:rsidRDefault="009C09BB">
            <w:pPr>
              <w:pStyle w:val="10"/>
              <w:widowControl/>
              <w:ind w:left="269"/>
              <w:rPr>
                <w:rFonts w:ascii="PMingLiu" w:eastAsia="PMingLiu" w:hAnsi="PMingLiu" w:cs="PMingLiu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 學生能認識電影的類型與美學概念</w:t>
            </w:r>
            <w:r>
              <w:rPr>
                <w:rFonts w:ascii="PMingLiu" w:eastAsia="PMingLiu" w:hAnsi="PMingLiu" w:cs="PMingLiu"/>
                <w:color w:val="000000"/>
              </w:rPr>
              <w:t>，</w:t>
            </w:r>
            <w:r>
              <w:rPr>
                <w:rFonts w:ascii="標楷體" w:eastAsia="標楷體" w:hAnsi="標楷體" w:cs="標楷體"/>
                <w:color w:val="000000"/>
              </w:rPr>
              <w:t>並能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試著解讀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影像背後的內涵以及理解鏡頭語言的意義，進而能懂得透過電影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分鏡表進行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基礎影像故事創作。</w:t>
            </w:r>
          </w:p>
        </w:tc>
      </w:tr>
      <w:tr w:rsidR="00BF1415">
        <w:trPr>
          <w:gridAfter w:val="1"/>
          <w:wAfter w:w="851" w:type="dxa"/>
          <w:trHeight w:val="567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BF1415" w:rsidRDefault="009C09BB">
            <w:pPr>
              <w:pStyle w:val="10"/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BF1415" w:rsidRDefault="00BF1415">
            <w:pPr>
              <w:pStyle w:val="10"/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BF1415">
        <w:trPr>
          <w:gridAfter w:val="1"/>
          <w:wAfter w:w="851" w:type="dxa"/>
          <w:trHeight w:val="782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BF1415" w:rsidRDefault="009C09BB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F1415">
        <w:trPr>
          <w:gridAfter w:val="1"/>
          <w:wAfter w:w="851" w:type="dxa"/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110/08/30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(節數：7-1)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視2-IV-3能理解藝術產物的功能與價值，以拓展多元視野。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性J1：接納自我與尊重他人的性傾向、性別特質與性別認同。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110/09/06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性　J1　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110/09/13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　J1　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110/09/26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　J1　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110/09/27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lastRenderedPageBreak/>
              <w:t>110/10/03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　J1　接納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110/10/04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　J1　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110/10/11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110/10/17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【第一次段考】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第一課：凝聚的視線：畫面中的人物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【性別平等教育】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　J1　接納自我與尊重他人的性傾向、性別特質與性別認同。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性J7：解析各種媒體所傳遞的性別迷思、偏見與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歧</w:t>
            </w:r>
            <w:proofErr w:type="gramEnd"/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110/10/18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(節數：7-1)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110/10/25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110/10/31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(節數：7-2)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110/11/07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110/11/08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110/11/15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110/11/22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110/11/29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第二課：生活中無所不在：版畫藝術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視A-IV-1藝術常識、藝術鑑賞方法。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實作評量</w:t>
            </w:r>
          </w:p>
          <w:p w:rsidR="00BF1415" w:rsidRDefault="009C09BB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學習心得記錄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【科技教育】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科J14具備與人溝通、協調、合作的能力。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110/12/06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廣告創意無限加-第1課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意(節數：7-1)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環J3經由環境美學與自然文學瞭解自然環境的倫理價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110/12/13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廣告創意無限加-第1課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創意想想看：廣告創意(節數：7-2)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環J3經由環境美學與自然文學瞭解自然環境的倫理價值。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t xml:space="preserve">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110/12/27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111/01/03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111/01/09</w:t>
            </w:r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創意想想看：廣告創意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F1415" w:rsidRDefault="00BF1415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110/01/17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110/01/23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廣告創意無限加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創意想想看：廣告創意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spacing w:line="39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F1415" w:rsidRDefault="009C09BB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111/02/14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111/02/21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111/02/28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111/03/07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111/03/14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111/03/21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111/03/28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111/04/03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第一次段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第二課：虛幻與真實：動漫 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(節數：7-7)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視2-Ⅳ-1能體驗藝術作品，並接受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視A-IV-3在地及各族群藝術、全球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藝術。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【生命教育】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J13　美感經驗的發現與創造。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【資訊教育】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資　J4　應用運算思維解析問題。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J11　落實康健的數位使用習慣與態度。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資 J13　瞭解資訊科技相關行業之進路與生涯發展。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【多元文化教育】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　J8　探討不同文化接觸時可能產生的衝突、融合或創新。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【國際教育】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國　J4　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111/04/04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(節數：7-1)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111/04/11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(節數：7-2)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111/04/18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111/04/25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111/05/02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111/05/08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111/05/09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111/05/15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111/05/16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第三課：生活中處處可見：雕塑藝術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(節數：7-7)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視1-IV-2能使用多元媒材與技法，表現個人或社群的觀點。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視1-IV-4能透過議題創作，表達對生活環境及社會文化的理解。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視2-IV-1能體驗藝術作品，並接受多元的觀點。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視3-IV-3能應用設計思考及藝術知能，因應生活情境尋求解決方案。</w:t>
            </w: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BF1415" w:rsidRDefault="00BF1415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視E-IV-2平面、立體及複合媒材的表現技法。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J5　瞭解社會上有不同的群體和文化，尊重並欣賞其差異。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環　J3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111/05/23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看出影像意義：解讀電影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(節數：7-1)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社區／部落、社會的影響，並提出改善策略或行動方案。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111/05/30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看出影像意義：解讀電影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1.鑑賞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探討違反人權的事件對整個人、社區／部落、社會的影響，並提出改善策略或行動方案。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BF1415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111/06/06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看出影像意義：解讀電影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(節數：7-3)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探討違反人權的事件對整個人、社區／部落、社會的影響，並提出改善策略或行動方案。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111/06/13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看出影像意義：解讀電影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(節數：7-4)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探討違反人權的事件對整個人、社區／部落、社會的影響，並提出改善策略或行動方案。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111/06/20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111/06/26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看出影像意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(節數：7-5)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探討違反人權的事件對整個人、社區／部落、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BF141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 w:rsidR="00D10020">
              <w:rPr>
                <w:rFonts w:asciiTheme="minorEastAsia" w:hAnsiTheme="minorEastAsia" w:cs="標楷體" w:hint="eastAsia"/>
                <w:sz w:val="20"/>
                <w:szCs w:val="20"/>
              </w:rPr>
              <w:t>、二十一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BF1415" w:rsidRDefault="009C09BB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111/06/27</w:t>
            </w:r>
          </w:p>
          <w:p w:rsidR="00BF1415" w:rsidRDefault="009C09BB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F1415" w:rsidRDefault="009C09BB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111/06/30</w:t>
            </w:r>
          </w:p>
          <w:p w:rsidR="00BF1415" w:rsidRDefault="009C09BB">
            <w:pPr>
              <w:pStyle w:val="10"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休業式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◎視覺藝術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小電影大道理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第2課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看出影像意義：解讀電影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(節數：7-6)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視1-IV-1能使用構成要素和形式原理，表達情感與想法。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視1-IV-3能使用數位及影音媒體，表達創作意念。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視2-IV-2能理解視覺符號的意義，並表達多元的觀點。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視E-IV-1色彩理論、造形表現、符號意涵。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視E-IV-3數位影像、數位媒材。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視A-IV-2傳統藝術、當代藝術、視覺文化。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視P-IV-4視覺藝術相關工作的特性與種類。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1.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實作評量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ab/>
              <w:t>學習心得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    記錄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【人權教育】</w:t>
            </w:r>
          </w:p>
          <w:p w:rsidR="00BF1415" w:rsidRDefault="009C09BB">
            <w:pPr>
              <w:pStyle w:val="1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人　J7　探討違反人權的事件對整個人、社區／部落、社會的影響，並提出改善策略或行動方案。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BF1415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BF1415" w:rsidRDefault="009C09BB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八上：</w:t>
            </w:r>
          </w:p>
          <w:p w:rsidR="00BF1415" w:rsidRDefault="009C09BB">
            <w:pPr>
              <w:pStyle w:val="1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：1.各種類型人物畫像的圖像。2.網路資源。3.教師自編PowerPoint教學簡報。4.</w:t>
            </w:r>
            <w: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教師自編學習單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。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：1.圖片及網路資源。2.教師自編PowerPoint教學簡報。3.教師自編學習單。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：1.廣告範例簡報。2.教師自編PowerPoint教學簡報。3.教師自編學習單。4.四開海報紙。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八下：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：1.各地區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相關動漫歷史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資料補充。2.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動漫相關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畫集、公仔。3.教師自編PowerPoint教學簡報。4.手繪漫畫常用工具。5.可配合P.50「變身英雄」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使用。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 1.雕塑作品圖片及網路資源。2.教師自編PowerPoint教學簡報。3.教師自編學習單。4.公仔製作的工具與材料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。</w:t>
            </w:r>
          </w:p>
          <w:p w:rsidR="00BF1415" w:rsidRDefault="009C09BB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至第二十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： 1.相關電影影片與簡報、電影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分鏡表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。2 .可配合P.98「『下課十分鐘』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分鏡表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使用。3.教師自編PowerPoint教學簡報。4.教師自編學習單。</w:t>
            </w:r>
          </w:p>
        </w:tc>
      </w:tr>
      <w:tr w:rsidR="00BF1415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415" w:rsidRDefault="009C09BB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415" w:rsidRDefault="00BF1415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BF1415" w:rsidRDefault="00BF1415" w:rsidP="009D2663">
      <w:pPr>
        <w:pStyle w:val="10"/>
        <w:widowControl/>
        <w:spacing w:line="400" w:lineRule="auto"/>
        <w:jc w:val="center"/>
        <w:rPr>
          <w:rFonts w:ascii="標楷體" w:eastAsia="標楷體" w:hAnsi="標楷體" w:cs="標楷體"/>
          <w:color w:val="000000"/>
        </w:rPr>
      </w:pPr>
      <w:bookmarkStart w:id="1" w:name="_30j0zll" w:colFirst="0" w:colLast="0"/>
      <w:bookmarkStart w:id="2" w:name="_GoBack"/>
      <w:bookmarkEnd w:id="1"/>
      <w:bookmarkEnd w:id="2"/>
    </w:p>
    <w:sectPr w:rsidR="00BF1415" w:rsidSect="00BF1415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967" w:rsidRDefault="00414967" w:rsidP="00BF1415">
      <w:r>
        <w:separator/>
      </w:r>
    </w:p>
  </w:endnote>
  <w:endnote w:type="continuationSeparator" w:id="0">
    <w:p w:rsidR="00414967" w:rsidRDefault="00414967" w:rsidP="00BF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15" w:rsidRDefault="00BF1415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 w:rsidR="009C09BB"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9D2663">
      <w:rPr>
        <w:rFonts w:ascii="微軟正黑體" w:eastAsia="微軟正黑體" w:hAnsi="微軟正黑體" w:cs="微軟正黑體"/>
        <w:noProof/>
        <w:color w:val="000000"/>
        <w:sz w:val="20"/>
        <w:szCs w:val="20"/>
      </w:rPr>
      <w:t>17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BF1415" w:rsidRDefault="00BF1415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967" w:rsidRDefault="00414967" w:rsidP="00BF1415">
      <w:r>
        <w:separator/>
      </w:r>
    </w:p>
  </w:footnote>
  <w:footnote w:type="continuationSeparator" w:id="0">
    <w:p w:rsidR="00414967" w:rsidRDefault="00414967" w:rsidP="00BF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9FF"/>
    <w:multiLevelType w:val="multilevel"/>
    <w:tmpl w:val="6B864BB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752D0E"/>
    <w:multiLevelType w:val="multilevel"/>
    <w:tmpl w:val="408EF54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EF6BAF"/>
    <w:multiLevelType w:val="multilevel"/>
    <w:tmpl w:val="EFE0F3B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E780949"/>
    <w:multiLevelType w:val="multilevel"/>
    <w:tmpl w:val="CC4401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4614DC7"/>
    <w:multiLevelType w:val="multilevel"/>
    <w:tmpl w:val="19C28DAE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5">
    <w:nsid w:val="5D7217F1"/>
    <w:multiLevelType w:val="multilevel"/>
    <w:tmpl w:val="6554CA5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FF5722F"/>
    <w:multiLevelType w:val="multilevel"/>
    <w:tmpl w:val="AE7A344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4265D9"/>
    <w:multiLevelType w:val="multilevel"/>
    <w:tmpl w:val="14FAFB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8D03D17"/>
    <w:multiLevelType w:val="multilevel"/>
    <w:tmpl w:val="AFB8B92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AD40A47"/>
    <w:multiLevelType w:val="multilevel"/>
    <w:tmpl w:val="04D2624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C4159AC"/>
    <w:multiLevelType w:val="multilevel"/>
    <w:tmpl w:val="C492D1E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0622CEF"/>
    <w:multiLevelType w:val="multilevel"/>
    <w:tmpl w:val="EF342B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1"/>
  </w:num>
  <w:num w:numId="10">
    <w:abstractNumId w:val="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1415"/>
    <w:rsid w:val="00414967"/>
    <w:rsid w:val="009C09BB"/>
    <w:rsid w:val="009D2663"/>
    <w:rsid w:val="00BF1415"/>
    <w:rsid w:val="00D1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F1415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10"/>
    <w:next w:val="10"/>
    <w:rsid w:val="00BF1415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10"/>
    <w:next w:val="10"/>
    <w:rsid w:val="00BF1415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10"/>
    <w:next w:val="10"/>
    <w:rsid w:val="00BF141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BF14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BF14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BF1415"/>
  </w:style>
  <w:style w:type="table" w:customStyle="1" w:styleId="TableNormal">
    <w:name w:val="Table Normal"/>
    <w:rsid w:val="00BF14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F1415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BF14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F1415"/>
    <w:tblPr>
      <w:tblStyleRowBandSize w:val="1"/>
      <w:tblStyleColBandSize w:val="1"/>
    </w:tblPr>
  </w:style>
  <w:style w:type="table" w:customStyle="1" w:styleId="a6">
    <w:basedOn w:val="TableNormal"/>
    <w:rsid w:val="00BF1415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semiHidden/>
    <w:unhideWhenUsed/>
    <w:rsid w:val="00D100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D10020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D100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D1002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2288</Words>
  <Characters>13046</Characters>
  <Application>Microsoft Office Word</Application>
  <DocSecurity>0</DocSecurity>
  <Lines>108</Lines>
  <Paragraphs>30</Paragraphs>
  <ScaleCrop>false</ScaleCrop>
  <Company>HOME</Company>
  <LinksUpToDate>false</LinksUpToDate>
  <CharactersWithSpaces>15304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2021-05-30T11:37:00Z</dcterms:created>
  <dcterms:modified xsi:type="dcterms:W3CDTF">2021-06-03T07:15:00Z</dcterms:modified>
</cp:coreProperties>
</file>