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AA7" w:rsidRDefault="001E0F91" w:rsidP="00AD3F95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2642E1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110</w:t>
      </w:r>
      <w:r>
        <w:rPr>
          <w:rFonts w:ascii="標楷體" w:eastAsia="標楷體" w:hAnsi="標楷體"/>
          <w:sz w:val="32"/>
          <w:szCs w:val="32"/>
        </w:rPr>
        <w:t>學年度</w:t>
      </w:r>
      <w:r w:rsidR="002642E1">
        <w:rPr>
          <w:rFonts w:ascii="標楷體" w:eastAsia="標楷體" w:hAnsi="標楷體" w:hint="eastAsia"/>
          <w:sz w:val="32"/>
          <w:szCs w:val="32"/>
        </w:rPr>
        <w:t>綜合領域</w:t>
      </w:r>
      <w:r>
        <w:rPr>
          <w:rFonts w:ascii="標楷體" w:eastAsia="標楷體" w:hAnsi="標楷體"/>
          <w:sz w:val="32"/>
          <w:szCs w:val="32"/>
        </w:rPr>
        <w:t>領域/</w:t>
      </w:r>
      <w:r w:rsidR="002642E1">
        <w:rPr>
          <w:rFonts w:ascii="標楷體" w:eastAsia="標楷體" w:hAnsi="標楷體" w:hint="eastAsia"/>
          <w:sz w:val="32"/>
          <w:szCs w:val="32"/>
        </w:rPr>
        <w:t>家政</w:t>
      </w:r>
      <w:r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140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559"/>
        <w:gridCol w:w="3402"/>
        <w:gridCol w:w="709"/>
        <w:gridCol w:w="2693"/>
        <w:gridCol w:w="1559"/>
        <w:gridCol w:w="1418"/>
        <w:gridCol w:w="1134"/>
      </w:tblGrid>
      <w:tr w:rsidR="00552AA7">
        <w:trPr>
          <w:trHeight w:val="689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B01653">
              <w:rPr>
                <w:rFonts w:ascii="標楷體" w:eastAsia="標楷體" w:hAnsi="標楷體" w:hint="eastAsia"/>
                <w:color w:val="000000"/>
              </w:rPr>
              <w:t>▓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B01653">
              <w:rPr>
                <w:rFonts w:ascii="標楷體" w:eastAsia="標楷體" w:hAnsi="標楷體" w:hint="eastAsia"/>
                <w:color w:val="000000"/>
              </w:rPr>
              <w:t>▓</w:t>
            </w:r>
            <w:r>
              <w:rPr>
                <w:rFonts w:ascii="標楷體" w:eastAsia="標楷體" w:hAnsi="標楷體"/>
                <w:color w:val="000000"/>
              </w:rPr>
              <w:t>家政□童軍□輔導)□科技(□資訊科技□生活科技)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>
        <w:trPr>
          <w:trHeight w:val="85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B01653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Times New Roman" w:eastAsia="標楷體" w:hAnsi="Times New Roman"/>
                <w:color w:val="000000"/>
              </w:rPr>
              <w:t>7</w:t>
            </w:r>
            <w:r w:rsidR="001E0F91">
              <w:rPr>
                <w:rFonts w:ascii="標楷體" w:eastAsia="標楷體" w:hAnsi="標楷體"/>
                <w:color w:val="000000"/>
              </w:rPr>
              <w:t>年級  □</w:t>
            </w:r>
            <w:r w:rsidR="001E0F91">
              <w:rPr>
                <w:rFonts w:ascii="Times New Roman" w:eastAsia="標楷體" w:hAnsi="Times New Roman"/>
                <w:color w:val="000000"/>
              </w:rPr>
              <w:t>8</w:t>
            </w:r>
            <w:r w:rsidR="001E0F91">
              <w:rPr>
                <w:rFonts w:ascii="標楷體" w:eastAsia="標楷體" w:hAnsi="標楷體"/>
                <w:color w:val="000000"/>
              </w:rPr>
              <w:t>年級 □</w:t>
            </w:r>
            <w:r w:rsidR="001E0F91">
              <w:rPr>
                <w:rFonts w:ascii="Times New Roman" w:eastAsia="標楷體" w:hAnsi="Times New Roman"/>
                <w:color w:val="000000"/>
              </w:rPr>
              <w:t>9</w:t>
            </w:r>
            <w:r w:rsidR="001E0F91"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E60683" w:rsidP="00AD3F95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 w:rsidR="004C41F9"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>
        <w:trPr>
          <w:trHeight w:val="935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EC3ABE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7218D2" w:rsidRDefault="001E0F91" w:rsidP="00AD3F95">
            <w:pPr>
              <w:spacing w:line="396" w:lineRule="auto"/>
              <w:jc w:val="both"/>
              <w:rPr>
                <w:szCs w:val="24"/>
              </w:rPr>
            </w:pPr>
            <w:r w:rsidRPr="007218D2">
              <w:rPr>
                <w:rFonts w:ascii="標楷體" w:eastAsia="標楷體" w:hAnsi="標楷體"/>
                <w:color w:val="000000"/>
                <w:szCs w:val="24"/>
              </w:rPr>
              <w:t>學期內每週</w:t>
            </w:r>
            <w:r w:rsidR="00EC3ABE" w:rsidRPr="007218D2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="00EC3ABE" w:rsidRPr="007218D2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="00EC3ABE" w:rsidRPr="007218D2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7218D2">
              <w:rPr>
                <w:rFonts w:ascii="標楷體" w:eastAsia="標楷體" w:hAnsi="標楷體"/>
                <w:color w:val="000000"/>
                <w:szCs w:val="24"/>
              </w:rPr>
              <w:t>節</w:t>
            </w:r>
          </w:p>
        </w:tc>
      </w:tr>
      <w:tr w:rsidR="00552AA7">
        <w:trPr>
          <w:trHeight w:val="624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83704" w:rsidRPr="00164B87" w:rsidRDefault="00283704" w:rsidP="002837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216FE">
              <w:rPr>
                <w:rFonts w:ascii="標楷體" w:eastAsia="標楷體" w:hAnsi="標楷體"/>
                <w:sz w:val="18"/>
                <w:szCs w:val="18"/>
              </w:rPr>
              <w:t>綜</w:t>
            </w:r>
            <w:r w:rsidRPr="00164B87">
              <w:rPr>
                <w:rFonts w:ascii="標楷體" w:eastAsia="標楷體" w:hAnsi="標楷體"/>
                <w:sz w:val="18"/>
                <w:szCs w:val="18"/>
              </w:rPr>
              <w:t>-J-A2釐清學習目標，探究多元的思考與學習方法，養成自主學習的能力，運用適當的策略，解決生活議題。</w:t>
            </w:r>
          </w:p>
          <w:p w:rsidR="00283704" w:rsidRPr="00164B87" w:rsidRDefault="00283704" w:rsidP="00283704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164B87">
              <w:rPr>
                <w:rFonts w:ascii="標楷體" w:eastAsia="標楷體" w:hAnsi="標楷體"/>
                <w:sz w:val="18"/>
                <w:szCs w:val="18"/>
              </w:rPr>
              <w:t>綜-J-B2善用科技、資訊與媒體等資源，並能分析及判斷其適切性，進而有效執行生活中重要事務。</w:t>
            </w:r>
          </w:p>
          <w:p w:rsidR="00552AA7" w:rsidRDefault="00283704" w:rsidP="00283704">
            <w:r w:rsidRPr="00164B87">
              <w:rPr>
                <w:rFonts w:ascii="標楷體" w:eastAsia="標楷體" w:hAnsi="標楷體" w:hint="eastAsia"/>
                <w:sz w:val="18"/>
                <w:szCs w:val="18"/>
              </w:rPr>
              <w:t>綜-J-C1</w:t>
            </w:r>
            <w:r w:rsidRPr="00E216FE">
              <w:rPr>
                <w:rFonts w:ascii="標楷體" w:eastAsia="標楷體" w:hAnsi="標楷體" w:hint="eastAsia"/>
                <w:sz w:val="18"/>
                <w:szCs w:val="18"/>
              </w:rPr>
              <w:t>探索人與環境的關係，規劃、執行服務學習和戶外學習活動，落實公民關懷並反思環境永續的行動價值。</w:t>
            </w:r>
          </w:p>
        </w:tc>
      </w:tr>
      <w:tr w:rsidR="00552AA7">
        <w:trPr>
          <w:trHeight w:val="483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家政：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能表達個人在生活中處理時間與金錢管理的情形。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能覺察個人與家庭生活中處理時間與金錢的方法，並分析其優缺點。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能依個人與家庭生活中在時間與金錢管理的狀況，擬定計畫並嘗試執行。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能執行個人與家庭生活中在時間與金錢所擬定的計畫，並評估與調整。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分享自己的早餐選擇情形。透過討論，覺察自己食物選擇的傾向與習慣。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覺察日常生活中，速食、飲料等飲食中可能隱含的危機。並檢討個人飲食生活的合宜性。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分析並選擇並規劃合宜的輕食搭配。編輯並製作健康輕食的介紹立牌。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運用創意進行簡單的輕食製備。觀摩各種輕食組合之搭配，思省思其優劣，並思考如何將組合中的優點轉化運用於活當中。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能認識服飾清潔、收納與管理的方法。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能收集與分析在個人生活中所遇到與服飾有關的狀況。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能善用資源解決有關服飾的問題。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能整合分析有關服飾之資源，據以做出合宜之判斷與決定並分享之。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覺察個人飲食行為對環境的影響。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分析個人飲食消費習慣，建立惜食的飲食態度。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因應環境變化建構低碳飲食消費觀念。瞭解低碳飲食的觀念與技巧，提出具體做法並實作。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從飲食擴大到其他生活層面，落實低碳消費與生活習慣。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分享自己衣物選購的經驗與喜好。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藉由測驗與活動覺察自己的消費決策習慣偏向。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能透過活動體驗分析服飾消費可能遭遇的風險，思考並擬定相應的解決策略。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運用所學，模擬服飾消費活動，並分享、評估其適切性。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運用適當的針線工具處理衣物破損的狀況。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覺察並分析各種不同縫法並正確使用手縫法縫補衣物。</w:t>
            </w:r>
          </w:p>
          <w:p w:rsidR="00283704" w:rsidRPr="00E216FE" w:rsidRDefault="00283704" w:rsidP="00283704">
            <w:pPr>
              <w:numPr>
                <w:ilvl w:val="0"/>
                <w:numId w:val="33"/>
              </w:num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運用創意思考的能力開發物品的多元功能性。運用創新能力進行評估與改良。</w:t>
            </w:r>
          </w:p>
          <w:p w:rsidR="00552AA7" w:rsidRPr="00283704" w:rsidRDefault="00283704" w:rsidP="00283704">
            <w:pPr>
              <w:jc w:val="both"/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展現舊物改造之優點與特色，並欣賞惜物愛物之情懷。</w:t>
            </w:r>
          </w:p>
        </w:tc>
      </w:tr>
      <w:tr w:rsidR="00552AA7">
        <w:trPr>
          <w:trHeight w:val="567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新細明體" w:hAnsi="新細明體"/>
                <w:color w:val="000000"/>
                <w:sz w:val="20"/>
                <w:szCs w:val="20"/>
              </w:rPr>
              <w:t>可分單元合併數週整合敘寫或依各週次進度敘寫。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>
        <w:trPr>
          <w:trHeight w:val="782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  <w:r w:rsidR="00906F0A">
              <w:rPr>
                <w:rFonts w:ascii="標楷體" w:eastAsia="標楷體" w:hAnsi="標楷體"/>
                <w:color w:val="000000"/>
              </w:rPr>
              <w:t>(動詞)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  <w:r w:rsidR="00906F0A">
              <w:rPr>
                <w:rFonts w:ascii="標楷體" w:eastAsia="標楷體" w:hAnsi="標楷體"/>
                <w:color w:val="000000"/>
              </w:rPr>
              <w:t>(名詞)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center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center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</w:t>
            </w:r>
            <w:r w:rsidRPr="00E216FE">
              <w:rPr>
                <w:rFonts w:ascii="標楷體" w:eastAsia="標楷體" w:hAnsi="標楷體" w:cs="DFMingStd-W5"/>
                <w:kern w:val="0"/>
                <w:sz w:val="20"/>
                <w:szCs w:val="20"/>
              </w:rPr>
              <w:t>1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】管理好手(一)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center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說明個人在生活中處理時間資源的情形，並找出時間管理的基本概念。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1.表示時間的圖片(教學時間充裕時運用)</w:t>
            </w:r>
          </w:p>
          <w:p w:rsidR="00B20012" w:rsidRPr="0004005B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2.紙卡或便利貼(可使用廢止，每位學生至少四張)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2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主題三、青春生活通(家政)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單元一、元氣新生活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【活動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】管理好手(二)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學習應用工作清單與提升專注力的方法來處理日常工作。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4.口頭分享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1.表示時間的圖片(教學時間充裕時運用)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2.紙卡或便利貼(可使用廢止，每位學生至少四張)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3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【活動2】「金」打細算(一)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檢視個人生活中的消費習慣，分析處理金錢資源的狀況。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1.學冊頁面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lastRenderedPageBreak/>
              <w:t>4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lastRenderedPageBreak/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【活動2】「金」打細算(二)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練習分配運算、排列花費的優先順序，學習運用有限金錢達成目標。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lastRenderedPageBreak/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lastRenderedPageBreak/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1.學生手冊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5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【活動3】關鍵決定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確認國中生活目標，運用所學擬定具體計畫，並有效執行生活重要事務。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 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1.每組一份拼圖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2.日常用品數種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6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【活動4】打造行動力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記錄計畫短期的實施狀況，找出問題然後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評估與調整，於生活中繼續實踐。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1.學生手冊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7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元氣新生活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【活動1】挑食任務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分享自己的早餐選擇情形。透過討論，覺察自己食物選擇的傾向與習慣。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有效蒐集、分析及開發各項資源，做出合宜的決定與運用。(主)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1b-IV-1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培養主動積極的學習態度，掌握學習方法，養成自主學習與自我管理的能力。(副)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個人與家庭生活的金錢及時間管理。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4.口頭評量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家J8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探討家庭消費與財務管理策略。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瞭解自己的人格特質與價值觀。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涯J13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培養生涯規劃及執行能力。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1.學生手冊</w:t>
            </w:r>
          </w:p>
        </w:tc>
      </w:tr>
      <w:tr w:rsidR="00B20012" w:rsidTr="00FC5E8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8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段考週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9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【活動2】食事偵查線(一)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電腦、投影機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教學影片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茶包、茶具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市售飲料包裝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學生手冊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10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【活動2】食事偵查線(二)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電腦、投影機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教學影片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茶包、茶具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4.市售飲料包裝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5.學生手冊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11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【活動2】食事偵查線(三)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覺察日常生活中，速食、飲料等飲食中可能隱含的危機，並檢討個人飲食生活的合宜性。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5.學習紀錄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7.高層次紙筆評量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12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A33BD5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【活動3】選擇有「食」力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分析、選擇並規劃合宜的輕食搭配。編輯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並製作健康輕食的介紹立牌。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6.學習紀錄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1.色紙數張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13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食尚玩家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【活動4】「食健」有動力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運用創意進行簡單的輕食製備。觀摩各種輕食組合之搭配，省思其優劣，並思考如何將組合中的優點轉化運用於生活當中。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家Aa-IV-1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個人與家庭飲食行為之影響因素與青少年合宜的飲食行為。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家Ab-IV-2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飲食的製備與創意運用。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自我管理與學習效能的提升。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小隊制度的分工、團隊合作與團體動力的提升。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4.高層次紙筆評量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1.整理烹飪教室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2.學冊頁面</w:t>
            </w:r>
          </w:p>
        </w:tc>
      </w:tr>
      <w:tr w:rsidR="00B20012" w:rsidTr="00FC5E81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14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段考週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15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主題三、青春生活通(家政)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單元三、衣事一籮筐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【活動1】衣同探險趣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發現生活中常見的衣物清潔、收納與管理問題，並說出解決辦法。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4.口語分享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16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:rsidR="00B20012" w:rsidRPr="00E216FE" w:rsidRDefault="00B20012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【活動2】衣物神祕袋(一)</w:t>
            </w:r>
          </w:p>
          <w:p w:rsidR="00B20012" w:rsidRPr="00E216FE" w:rsidRDefault="00B20012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分析織物材質、特性在衣料上的應用。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1.滴管、量筒、尺、碼表、杯子、橡皮筋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2.織法圖卡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3.布卡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4.洗標圖卡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17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:rsidR="00B20012" w:rsidRPr="00E216FE" w:rsidRDefault="00B20012" w:rsidP="00B00568">
            <w:pPr>
              <w:tabs>
                <w:tab w:val="center" w:pos="4153"/>
                <w:tab w:val="right" w:pos="8306"/>
              </w:tabs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【活動2】衣物神祕袋(二)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分析織物材質、特性對於穿著舒適度的關係。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1.滴管、量筒、尺、碼表、杯子、橡皮筋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2.織法圖卡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3.布卡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4.洗標圖卡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5.學冊頁面</w:t>
            </w:r>
          </w:p>
        </w:tc>
      </w:tr>
      <w:tr w:rsidR="00B20012" w:rsidTr="00E04250">
        <w:trPr>
          <w:trHeight w:val="41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18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【活動2】衣物神祕袋(三)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收集生活中衣物洗滌的狀況，分析洗衣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標示對於衣物洗滌的影響。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1.滴管、量筒、尺、碼表、杯子、橡皮筋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2.織法圖卡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3.布卡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4.洗標圖卡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5.學冊頁面</w:t>
            </w:r>
          </w:p>
        </w:tc>
      </w:tr>
      <w:tr w:rsidR="00B20012" w:rsidTr="00E04250">
        <w:trPr>
          <w:trHeight w:val="36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19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【活動3】解碼高手</w:t>
            </w:r>
          </w:p>
          <w:p w:rsidR="00B20012" w:rsidRPr="00E216FE" w:rsidRDefault="00B20012" w:rsidP="00B00568">
            <w:pPr>
              <w:tabs>
                <w:tab w:val="left" w:pos="142"/>
              </w:tabs>
              <w:ind w:hanging="170"/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分析各種不同清潔劑與衣物髒汙的關係。運用各種不同清潔劑解決衣物髒污的困擾。</w:t>
            </w:r>
          </w:p>
          <w:p w:rsidR="00B20012" w:rsidRPr="00E216FE" w:rsidRDefault="00B20012" w:rsidP="00B00568">
            <w:pPr>
              <w:tabs>
                <w:tab w:val="left" w:pos="142"/>
              </w:tabs>
              <w:ind w:hanging="17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Bc-IV-1常見織品的認識與手縫技巧應用。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1.牙刷、抹布、水桶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2.常見衣物髒污來源(醬油、番茄醬、墨汁......)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3.清潔劑：肥皂水、洗碗精、小蘇打粉、檸檬酸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4.學冊頁面</w:t>
            </w:r>
          </w:p>
        </w:tc>
      </w:tr>
      <w:tr w:rsidR="00B20012" w:rsidTr="00E04250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20012" w:rsidRDefault="00B2001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20</w:t>
            </w:r>
            <w:r w:rsidR="00AD3F95" w:rsidRPr="00AD3F95">
              <w:rPr>
                <w:rFonts w:ascii="標楷體" w:eastAsia="標楷體" w:hAnsi="標楷體"/>
                <w:color w:val="FF0000"/>
              </w:rPr>
              <w:t>-21</w:t>
            </w:r>
          </w:p>
          <w:p w:rsidR="00B20012" w:rsidRPr="00E216FE" w:rsidRDefault="00B20012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012" w:rsidRPr="00E216FE" w:rsidRDefault="00B20012" w:rsidP="00B00568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</w:t>
            </w:r>
            <w:r w:rsidRPr="00E216F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青春生活通(家政)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衣事一籮筐</w:t>
            </w:r>
          </w:p>
          <w:p w:rsidR="00B20012" w:rsidRPr="00E216FE" w:rsidRDefault="00B20012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【活動4】衣物萬事通</w:t>
            </w:r>
          </w:p>
          <w:p w:rsidR="00B20012" w:rsidRPr="00E216FE" w:rsidRDefault="00B20012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判斷家中服飾適合的最佳收納方式。整合所有資源，解決日常生活中與服飾相關的問題。</w:t>
            </w:r>
          </w:p>
          <w:p w:rsidR="00B20012" w:rsidRPr="00E216FE" w:rsidRDefault="00B20012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2c-IV-1善用各項資源，妥善計畫與執行個人生活中重要事務。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家Ba-IV-1服飾的清潔、收納與管理。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家Bc-IV-1常見織品的認識與手縫技巧應用。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輔Ba-IV-2自我管理與學習效能的提升。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1.觀察學生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2.態度評定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3.多元發表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4.學習紀錄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5.高層次紙筆評量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家J7</w:t>
            </w:r>
          </w:p>
          <w:p w:rsidR="00B20012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運用家庭資源，規劃個人生活目標。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分析法規、公共政策對家庭資源與消費的影響。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1.外套、長袖衣物、短袖衣物、褲子、襪子......</w:t>
            </w:r>
          </w:p>
          <w:p w:rsidR="00B20012" w:rsidRPr="00E216FE" w:rsidRDefault="00B20012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2.學冊頁面</w:t>
            </w: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第二學期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1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【活動1】綠色飲食好選擇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覺察個人飲食行為對環境的影響。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1.具有碳足跡標籤的食品包裝。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2.食物碳排放牌卡。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2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【活動2】惜食不「碳」氣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分析個人飲食消費習慣，建立惜食的飲食態度。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片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3.海報紙</w:t>
            </w: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3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【活動3】低碳飲食COOL一點(一)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巧，提出具體做法並實作。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4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2.瞭解低碳飲食的觀念與技巧，提出具體做法並實作。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5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【活動3】低碳飲食COOL一點(三)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1.因應環境變化，建構低碳飲食消費觀念。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2.瞭解低碳飲食的觀念與技巧，提出具體做法並實作。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6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單元一、新良食運動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【活動4】小決定，改變大世界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從飲食擴大到其他生活層面，落實低碳消費與生活習慣。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3d-IV-2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分析環境與個人行為的關係，運用策略與行動，促進環境永續發展。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青少年飲食的消費決策與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家Aa-IV-3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飲食行為與環境永續之關聯、實踐策略及行動。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童Da-IV-2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人類與生活環境互動關係的理解，及永續發展策略的實踐與省思。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J6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瞭解世界人口數量增加、糧食供給與營養的永續議題。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1.便利貼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2.A4白紙、回收紙或彩色卡紙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7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段考週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8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【活動1】「衣」時之選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分享自己衣物選購的經驗與喜好。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2.遊戲規則與牌卡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 事先提醒學生帶服飾一件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9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【活動2】「衣」見傾心(一)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藉由測驗與活動覺察自己的消費決策習慣偏向。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lastRenderedPageBreak/>
              <w:t>資源運用與風險評估，以及合宜的消費行為。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51369F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2.服飾一件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3.捲尺數個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10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【活動2】「衣」見傾心(二)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藉由測驗與活動覺察自己的消費決策習慣偏向。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單元二、生活饗食樂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【活動2】創造好「火」伴(二)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透過「飢渴好『火』伴」短文的閱讀與討論，學習燃燒三要素、三級柴、架柴等基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本知能，並學習保護環境的方法。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2.服飾一件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3.捲尺數個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11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【活動3】買衣停看聽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能透過活動體驗分析服飾消費可能遭遇的風險，思考並擬定相應的解決策略。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2.買衣停看聽牌卡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12</w:t>
            </w:r>
          </w:p>
          <w:p w:rsidR="001265BA" w:rsidRPr="00E216FE" w:rsidRDefault="001265BA" w:rsidP="00B00568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【活動4】全班「衣」起購(一)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運用所學，模擬服飾消費活動，並分享、評估其適切性。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1B0636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2.海報紙數張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3.電腦網路設備（視情況）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13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單元二、「衣」起消費「趣」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【活動4】全班「衣」起購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運用所學，模擬服飾消費活動，並分享、評估其適切性。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2c-IV-2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有效蒐集、分析及開發各項資源，做出合宜的決定與運用。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具備野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家Ba-IV-2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服飾消費的影響因素與青少年的服飾消費決策及行為。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家Ca-IV-2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消費管道的分析比較、資源運用與風險評估，以及合宜的消費行為。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輔Bb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 xml:space="preserve">-IV-2 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學習資源探索與資訊整合運用。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家J9 分析法規、公共政策對家庭資源與消費的影響。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1.分組座位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2.海報紙數張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3.電腦網路設備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（視情況）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14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段考週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15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【活動1】「針」心工坊</w:t>
            </w:r>
          </w:p>
          <w:p w:rsidR="001265BA" w:rsidRPr="00E56F5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運用適當的針線工具處理衣物破損的狀況。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16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【活動2】「針縫」對決(一)</w:t>
            </w:r>
          </w:p>
          <w:p w:rsidR="001265BA" w:rsidRPr="00022EA4" w:rsidRDefault="001265BA" w:rsidP="00B00568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覺察及分析各種不同縫法，並正確使用手 縫法縫補衣物。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17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【活動2】「針縫」對決(二)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覺察及分析各種不同縫法，並正確使用手 縫法縫補衣物。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18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【活動3】「針」惜好物(一)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1.運用創意思考的能力開發物品的多元功能性。</w:t>
            </w:r>
          </w:p>
          <w:p w:rsidR="001265BA" w:rsidRPr="004C74B6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2.運用創新能力進行評估與改良。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39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19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【活動3】「針」惜好物(二)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1.運用創意思</w:t>
            </w: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考的能力開發物品的多元功能性。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2.運用創新能力進行評估與改良。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童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-IV-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E216FE">
              <w:rPr>
                <w:rFonts w:ascii="標楷體" w:eastAsia="標楷體" w:hAnsi="標楷體"/>
                <w:sz w:val="20"/>
                <w:szCs w:val="20"/>
              </w:rPr>
              <w:t>戶外休閒活動知能的整合與運用</w:t>
            </w: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/>
                <w:sz w:val="20"/>
                <w:szCs w:val="20"/>
              </w:rPr>
              <w:t>輔Dc-IV-2 團體溝通、互動與工作效能的提升。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265BA" w:rsidTr="009C43FD">
        <w:trPr>
          <w:trHeight w:val="72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65BA" w:rsidRDefault="001265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第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 w:hint="eastAsia"/>
              </w:rPr>
              <w:t>20</w:t>
            </w:r>
            <w:r w:rsidR="00AD3F95" w:rsidRPr="00AD3F95">
              <w:rPr>
                <w:rFonts w:ascii="標楷體" w:eastAsia="標楷體" w:hAnsi="標楷體"/>
                <w:color w:val="FF0000"/>
              </w:rPr>
              <w:t>-21</w:t>
            </w:r>
          </w:p>
          <w:p w:rsidR="001265BA" w:rsidRPr="00E216FE" w:rsidRDefault="001265BA" w:rsidP="00B0056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216FE">
              <w:rPr>
                <w:rFonts w:ascii="標楷體" w:eastAsia="標楷體" w:hAnsi="標楷體"/>
              </w:rPr>
              <w:t>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主題二、青春消費王(家政)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單元三、「針」惜好生活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【活動4】「針」心「針」意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E216FE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展現舊物改造之優點與特色，並欣賞惜物愛物之情懷。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家Bc-IV-1 常見織品的認識與手縫技巧應用。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環 J4 瞭解永續發展的意義（環境、社會、與經濟的均衡發展）與原則。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16FE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265BA" w:rsidRPr="00E216FE" w:rsidRDefault="001265BA" w:rsidP="00B0056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52AA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552AA7" w:rsidRDefault="001E0F91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2B4FF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黑板、電子白板、筆電、教學互動教材</w:t>
            </w:r>
          </w:p>
        </w:tc>
      </w:tr>
      <w:tr w:rsidR="00552AA7">
        <w:trPr>
          <w:trHeight w:val="720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2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52AA7" w:rsidRDefault="00552AA7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1" w:name="_30j0zll"/>
      <w:bookmarkEnd w:id="1"/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17363" w:rsidRDefault="00E17363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bookmarkStart w:id="2" w:name="_GoBack"/>
      <w:bookmarkEnd w:id="2"/>
    </w:p>
    <w:sectPr w:rsidR="00E17363" w:rsidSect="00401920">
      <w:footerReference w:type="default" r:id="rId7"/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57" w:rsidRDefault="00214E57">
      <w:r>
        <w:separator/>
      </w:r>
    </w:p>
  </w:endnote>
  <w:endnote w:type="continuationSeparator" w:id="0">
    <w:p w:rsidR="00214E57" w:rsidRDefault="0021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panose1 w:val="020F0309000000000000"/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華康中黑體">
    <w:panose1 w:val="020B0509000000000000"/>
    <w:charset w:val="00"/>
    <w:family w:val="modern"/>
    <w:pitch w:val="fixed"/>
  </w:font>
  <w:font w:name="華康標宋體">
    <w:panose1 w:val="02020409000000000000"/>
    <w:charset w:val="00"/>
    <w:family w:val="modern"/>
    <w:pitch w:val="fixed"/>
  </w:font>
  <w:font w:name="DFMing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91" w:rsidRDefault="001E0F91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AD3F95">
      <w:rPr>
        <w:rFonts w:ascii="微軟正黑體" w:eastAsia="微軟正黑體" w:hAnsi="微軟正黑體"/>
        <w:noProof/>
        <w:lang w:val="zh-TW"/>
      </w:rPr>
      <w:t>16</w:t>
    </w:r>
    <w:r>
      <w:rPr>
        <w:rFonts w:ascii="微軟正黑體" w:eastAsia="微軟正黑體" w:hAnsi="微軟正黑體"/>
        <w:lang w:val="zh-TW"/>
      </w:rPr>
      <w:fldChar w:fldCharType="end"/>
    </w:r>
  </w:p>
  <w:p w:rsidR="001E0F91" w:rsidRDefault="001E0F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57" w:rsidRDefault="00214E57">
      <w:r>
        <w:rPr>
          <w:color w:val="000000"/>
        </w:rPr>
        <w:separator/>
      </w:r>
    </w:p>
  </w:footnote>
  <w:footnote w:type="continuationSeparator" w:id="0">
    <w:p w:rsidR="00214E57" w:rsidRDefault="00214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17886E86"/>
    <w:multiLevelType w:val="hybridMultilevel"/>
    <w:tmpl w:val="CF0A54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8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3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4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5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1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2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4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5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6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9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1"/>
  </w:num>
  <w:num w:numId="2">
    <w:abstractNumId w:val="19"/>
  </w:num>
  <w:num w:numId="3">
    <w:abstractNumId w:val="28"/>
  </w:num>
  <w:num w:numId="4">
    <w:abstractNumId w:val="23"/>
  </w:num>
  <w:num w:numId="5">
    <w:abstractNumId w:val="7"/>
  </w:num>
  <w:num w:numId="6">
    <w:abstractNumId w:val="20"/>
  </w:num>
  <w:num w:numId="7">
    <w:abstractNumId w:val="14"/>
  </w:num>
  <w:num w:numId="8">
    <w:abstractNumId w:val="29"/>
  </w:num>
  <w:num w:numId="9">
    <w:abstractNumId w:val="13"/>
  </w:num>
  <w:num w:numId="10">
    <w:abstractNumId w:val="24"/>
  </w:num>
  <w:num w:numId="11">
    <w:abstractNumId w:val="12"/>
  </w:num>
  <w:num w:numId="12">
    <w:abstractNumId w:val="17"/>
  </w:num>
  <w:num w:numId="13">
    <w:abstractNumId w:val="30"/>
  </w:num>
  <w:num w:numId="14">
    <w:abstractNumId w:val="15"/>
  </w:num>
  <w:num w:numId="15">
    <w:abstractNumId w:val="8"/>
  </w:num>
  <w:num w:numId="16">
    <w:abstractNumId w:val="3"/>
  </w:num>
  <w:num w:numId="17">
    <w:abstractNumId w:val="10"/>
  </w:num>
  <w:num w:numId="18">
    <w:abstractNumId w:val="16"/>
  </w:num>
  <w:num w:numId="19">
    <w:abstractNumId w:val="11"/>
  </w:num>
  <w:num w:numId="20">
    <w:abstractNumId w:val="22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</w:num>
  <w:num w:numId="23">
    <w:abstractNumId w:val="31"/>
  </w:num>
  <w:num w:numId="24">
    <w:abstractNumId w:val="26"/>
  </w:num>
  <w:num w:numId="25">
    <w:abstractNumId w:val="9"/>
  </w:num>
  <w:num w:numId="26">
    <w:abstractNumId w:val="4"/>
  </w:num>
  <w:num w:numId="27">
    <w:abstractNumId w:val="18"/>
  </w:num>
  <w:num w:numId="28">
    <w:abstractNumId w:val="6"/>
  </w:num>
  <w:num w:numId="29">
    <w:abstractNumId w:val="2"/>
  </w:num>
  <w:num w:numId="30">
    <w:abstractNumId w:val="0"/>
  </w:num>
  <w:num w:numId="31">
    <w:abstractNumId w:val="27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4146E"/>
    <w:rsid w:val="00080CB0"/>
    <w:rsid w:val="000B7630"/>
    <w:rsid w:val="001265BA"/>
    <w:rsid w:val="001512F8"/>
    <w:rsid w:val="001E0F91"/>
    <w:rsid w:val="00214E57"/>
    <w:rsid w:val="002642E1"/>
    <w:rsid w:val="00283704"/>
    <w:rsid w:val="002B4FFA"/>
    <w:rsid w:val="002E3691"/>
    <w:rsid w:val="0034497E"/>
    <w:rsid w:val="00391445"/>
    <w:rsid w:val="003E5185"/>
    <w:rsid w:val="00401920"/>
    <w:rsid w:val="004154E3"/>
    <w:rsid w:val="0046315F"/>
    <w:rsid w:val="004712C7"/>
    <w:rsid w:val="004C41F9"/>
    <w:rsid w:val="005433EC"/>
    <w:rsid w:val="00552AA7"/>
    <w:rsid w:val="00572ED2"/>
    <w:rsid w:val="006738D6"/>
    <w:rsid w:val="006B6A03"/>
    <w:rsid w:val="007218D2"/>
    <w:rsid w:val="008B3E27"/>
    <w:rsid w:val="00906F0A"/>
    <w:rsid w:val="00941430"/>
    <w:rsid w:val="00A534A1"/>
    <w:rsid w:val="00AA35FA"/>
    <w:rsid w:val="00AD3F95"/>
    <w:rsid w:val="00B01653"/>
    <w:rsid w:val="00B20012"/>
    <w:rsid w:val="00CF6121"/>
    <w:rsid w:val="00DF62DD"/>
    <w:rsid w:val="00E026ED"/>
    <w:rsid w:val="00E17363"/>
    <w:rsid w:val="00E60683"/>
    <w:rsid w:val="00EC3ABE"/>
    <w:rsid w:val="00F03DD8"/>
    <w:rsid w:val="00FC2830"/>
    <w:rsid w:val="00F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644B28-8DB6-476B-B524-E69C7F8A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17</Pages>
  <Words>1877</Words>
  <Characters>10703</Characters>
  <Application>Microsoft Office Word</Application>
  <DocSecurity>0</DocSecurity>
  <Lines>89</Lines>
  <Paragraphs>25</Paragraphs>
  <ScaleCrop>false</ScaleCrop>
  <Company/>
  <LinksUpToDate>false</LinksUpToDate>
  <CharactersWithSpaces>12555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嘉均 馬</cp:lastModifiedBy>
  <cp:revision>50</cp:revision>
  <cp:lastPrinted>2020-02-13T07:28:00Z</cp:lastPrinted>
  <dcterms:created xsi:type="dcterms:W3CDTF">2021-04-06T01:43:00Z</dcterms:created>
  <dcterms:modified xsi:type="dcterms:W3CDTF">2021-06-03T06:17:00Z</dcterms:modified>
</cp:coreProperties>
</file>