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793EE8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6534E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793EE8" w:rsidRPr="00793EE8">
        <w:rPr>
          <w:rFonts w:ascii="標楷體" w:eastAsia="標楷體" w:hAnsi="標楷體"/>
          <w:color w:val="FF0000"/>
          <w:sz w:val="32"/>
          <w:szCs w:val="32"/>
        </w:rPr>
        <w:t>社會</w:t>
      </w:r>
      <w:r>
        <w:rPr>
          <w:rFonts w:ascii="標楷體" w:eastAsia="標楷體" w:hAnsi="標楷體"/>
          <w:sz w:val="32"/>
          <w:szCs w:val="32"/>
        </w:rPr>
        <w:t>領域/</w:t>
      </w:r>
      <w:r w:rsidR="00793EE8" w:rsidRPr="00793EE8">
        <w:rPr>
          <w:rFonts w:ascii="標楷體" w:eastAsia="標楷體" w:hAnsi="標楷體"/>
          <w:color w:val="FF0000"/>
          <w:sz w:val="32"/>
          <w:szCs w:val="32"/>
        </w:rPr>
        <w:t>地理</w:t>
      </w:r>
      <w:r w:rsidR="00793EE8">
        <w:rPr>
          <w:rFonts w:ascii="標楷體" w:eastAsia="標楷體" w:hAnsi="標楷體"/>
          <w:sz w:val="32"/>
          <w:szCs w:val="32"/>
        </w:rPr>
        <w:t>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164"/>
        <w:gridCol w:w="1701"/>
        <w:gridCol w:w="1246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proofErr w:type="gramStart"/>
            <w:r w:rsidR="006534ED"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社會(□歷史</w:t>
            </w:r>
            <w:proofErr w:type="gramStart"/>
            <w:r w:rsidR="006534ED"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proofErr w:type="gramStart"/>
            <w:r w:rsidR="001813CD"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1813CD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6534ED" w:rsidP="00793EE8">
            <w:pPr>
              <w:spacing w:line="396" w:lineRule="auto"/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 w:rsidR="001E0F91">
              <w:rPr>
                <w:rFonts w:ascii="標楷體" w:eastAsia="標楷體" w:hAnsi="標楷體"/>
                <w:color w:val="000000"/>
              </w:rPr>
              <w:t>下學期</w:t>
            </w:r>
          </w:p>
        </w:tc>
      </w:tr>
      <w:tr w:rsidR="00552AA7" w:rsidTr="00510997">
        <w:trPr>
          <w:trHeight w:val="717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6534ED">
            <w:pPr>
              <w:spacing w:line="396" w:lineRule="auto"/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▓</w:t>
            </w:r>
            <w:proofErr w:type="gramEnd"/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 w:rsidR="00DB3FCA"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DB3FCA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DB3FCA">
              <w:rPr>
                <w:rFonts w:ascii="標楷體" w:eastAsia="標楷體" w:hAnsi="標楷體" w:hint="eastAsia"/>
                <w:color w:val="000000"/>
              </w:rPr>
              <w:t xml:space="preserve"> 1 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:rsidTr="00510997">
        <w:trPr>
          <w:trHeight w:val="377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52AA7" w:rsidRPr="00C5300E" w:rsidRDefault="00C5300E" w:rsidP="00C5300E">
            <w:pPr>
              <w:autoSpaceDE w:val="0"/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20"/>
              </w:rPr>
            </w:pPr>
            <w:r w:rsidRPr="00C5300E">
              <w:rPr>
                <w:rFonts w:asciiTheme="minorEastAsia" w:eastAsiaTheme="minorEastAsia" w:hAnsiTheme="minorEastAsia"/>
                <w:sz w:val="20"/>
              </w:rPr>
              <w:t>社-J-B3</w:t>
            </w:r>
            <w:r w:rsidRPr="00C5300E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Pr="00C5300E">
              <w:rPr>
                <w:rFonts w:asciiTheme="minorEastAsia" w:eastAsiaTheme="minorEastAsia" w:hAnsiTheme="minorEastAsia"/>
                <w:sz w:val="20"/>
              </w:rPr>
              <w:t>欣賞不同時空環境下形塑的自然、族群與文化之美，增進生活的豐富性。</w:t>
            </w:r>
          </w:p>
          <w:p w:rsidR="00C5300E" w:rsidRPr="00C5300E" w:rsidRDefault="00C5300E" w:rsidP="00C5300E">
            <w:pPr>
              <w:autoSpaceDE w:val="0"/>
              <w:snapToGrid w:val="0"/>
              <w:spacing w:line="240" w:lineRule="atLeast"/>
              <w:jc w:val="both"/>
              <w:rPr>
                <w:sz w:val="20"/>
              </w:rPr>
            </w:pPr>
            <w:r w:rsidRPr="00C5300E">
              <w:rPr>
                <w:rFonts w:asciiTheme="minorEastAsia" w:eastAsiaTheme="minorEastAsia" w:hAnsiTheme="minorEastAsia"/>
                <w:sz w:val="20"/>
              </w:rPr>
              <w:t>社-J-C3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Pr="00C5300E">
              <w:rPr>
                <w:rFonts w:asciiTheme="minorEastAsia" w:eastAsiaTheme="minorEastAsia" w:hAnsiTheme="minorEastAsia"/>
                <w:sz w:val="20"/>
              </w:rPr>
              <w:t>尊重並欣賞各族群文化的多樣性，了解</w:t>
            </w:r>
            <w:proofErr w:type="gramStart"/>
            <w:r w:rsidRPr="00C5300E">
              <w:rPr>
                <w:rFonts w:asciiTheme="minorEastAsia" w:eastAsiaTheme="minorEastAsia" w:hAnsiTheme="minorEastAsia"/>
                <w:sz w:val="20"/>
              </w:rPr>
              <w:t>文化間的相互</w:t>
            </w:r>
            <w:proofErr w:type="gramEnd"/>
            <w:r w:rsidRPr="00C5300E">
              <w:rPr>
                <w:rFonts w:asciiTheme="minorEastAsia" w:eastAsiaTheme="minorEastAsia" w:hAnsiTheme="minorEastAsia"/>
                <w:sz w:val="20"/>
              </w:rPr>
              <w:t>關聯，以及臺灣與國際社會的互動關係。</w:t>
            </w:r>
          </w:p>
        </w:tc>
      </w:tr>
      <w:tr w:rsidR="00552AA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8143C" w:rsidRPr="008A414F" w:rsidRDefault="00A8143C" w:rsidP="00A8143C">
            <w:pPr>
              <w:jc w:val="both"/>
              <w:rPr>
                <w:rFonts w:ascii="新細明體" w:hAnsi="新細明體"/>
                <w:color w:val="000000" w:themeColor="text1"/>
                <w:sz w:val="20"/>
                <w:szCs w:val="20"/>
              </w:rPr>
            </w:pPr>
            <w:r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1. 增進</w:t>
            </w:r>
            <w:r w:rsidR="00B31863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學生</w:t>
            </w:r>
            <w:r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對地理知識的探究與理解能力。</w:t>
            </w:r>
          </w:p>
          <w:p w:rsidR="00A8143C" w:rsidRDefault="00A8143C" w:rsidP="00A8143C">
            <w:pPr>
              <w:jc w:val="both"/>
              <w:rPr>
                <w:rFonts w:ascii="新細明體" w:hAnsi="新細明體"/>
                <w:color w:val="000000" w:themeColor="text1"/>
                <w:sz w:val="20"/>
                <w:szCs w:val="20"/>
              </w:rPr>
            </w:pPr>
            <w:r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2. 提升</w:t>
            </w:r>
            <w:r w:rsidR="00B31863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學生</w:t>
            </w:r>
            <w:r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獨立思考、價值判斷、理性決定與創新應變的素養。</w:t>
            </w:r>
          </w:p>
          <w:p w:rsidR="00B31863" w:rsidRPr="008A414F" w:rsidRDefault="00B31863" w:rsidP="00A8143C">
            <w:pPr>
              <w:jc w:val="both"/>
              <w:rPr>
                <w:rFonts w:ascii="新細明體" w:hAnsi="新細明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B31863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發展</w:t>
            </w: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學生</w:t>
            </w:r>
            <w:r w:rsidR="005A72FE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跨學科</w:t>
            </w:r>
            <w:r w:rsidRPr="00B31863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分析、思辨、統整、評估與批判的能力。</w:t>
            </w:r>
          </w:p>
          <w:p w:rsidR="00552AA7" w:rsidRPr="008A414F" w:rsidRDefault="00B31863" w:rsidP="00A8143C">
            <w:pPr>
              <w:jc w:val="both"/>
              <w:rPr>
                <w:rFonts w:ascii="新細明體" w:hAnsi="新細明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4</w:t>
            </w:r>
            <w:r w:rsidR="00A8143C"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. 培養</w:t>
            </w:r>
            <w:r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學生</w:t>
            </w:r>
            <w:r w:rsidR="00A8143C"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對於族群、社會、地方、國家和世界的覺知</w:t>
            </w:r>
            <w:r w:rsidR="005A72FE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，</w:t>
            </w:r>
            <w:proofErr w:type="gramStart"/>
            <w:r w:rsidR="00A8143C"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並涵育</w:t>
            </w:r>
            <w:proofErr w:type="gramEnd"/>
            <w:r w:rsidR="00A8143C" w:rsidRPr="008A414F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具有肯認多元、重視人權和關懷全球永續的責任意識。</w:t>
            </w:r>
          </w:p>
        </w:tc>
      </w:tr>
      <w:tr w:rsidR="00552AA7" w:rsidTr="00425166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可分單元合併數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週整合敘寫或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依各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次</w:t>
            </w:r>
            <w:proofErr w:type="gramStart"/>
            <w:r>
              <w:rPr>
                <w:rFonts w:ascii="新細明體" w:hAnsi="新細明體"/>
                <w:color w:val="000000"/>
                <w:sz w:val="20"/>
                <w:szCs w:val="20"/>
              </w:rPr>
              <w:t>進度敘寫</w:t>
            </w:r>
            <w:proofErr w:type="gramEnd"/>
            <w:r>
              <w:rPr>
                <w:rFonts w:ascii="新細明體" w:hAnsi="新細明體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166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方法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166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實質內涵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Tr="00425166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552AA7" w:rsidTr="00B05128">
        <w:trPr>
          <w:trHeight w:val="5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42516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D24077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24077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 w:rsidR="00DB3FCA"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552AA7" w:rsidRDefault="00DB3FCA" w:rsidP="0042516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中國的自然環境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812E04">
              <w:rPr>
                <w:rFonts w:asciiTheme="minorEastAsia" w:eastAsiaTheme="minorEastAsia" w:hAnsiTheme="minorEastAsia" w:hint="eastAsia"/>
                <w:sz w:val="16"/>
              </w:rPr>
              <w:t>社1a-Ⅳ-1發覺生活經驗或社會現象與社會領域內容知識的關係。</w:t>
            </w:r>
          </w:p>
          <w:p w:rsidR="00552AA7" w:rsidRDefault="005805DC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5805DC">
              <w:rPr>
                <w:rFonts w:asciiTheme="minorEastAsia" w:eastAsiaTheme="minorEastAsia" w:hAnsiTheme="minorEastAsia" w:hint="eastAsia"/>
                <w:sz w:val="16"/>
              </w:rPr>
              <w:t>地1a-Ⅳ-1說明重要地理現象分布特性的成因。</w:t>
            </w:r>
          </w:p>
          <w:p w:rsidR="00812E04" w:rsidRPr="00812E04" w:rsidRDefault="00812E04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812E04">
              <w:rPr>
                <w:rFonts w:asciiTheme="minorEastAsia" w:eastAsiaTheme="minorEastAsia" w:hAnsiTheme="minorEastAsia" w:hint="eastAsia"/>
                <w:sz w:val="16"/>
              </w:rPr>
              <w:t>社1b-Ⅳ-1應用社會領域內容知識解析生活經驗或社會現象。</w:t>
            </w:r>
          </w:p>
          <w:p w:rsidR="00812E04" w:rsidRPr="005805DC" w:rsidRDefault="00812E04" w:rsidP="00425166">
            <w:pPr>
              <w:jc w:val="both"/>
              <w:rPr>
                <w:rFonts w:asciiTheme="minorEastAsia" w:eastAsiaTheme="minorEastAsia" w:hAnsiTheme="minorEastAsia"/>
              </w:rPr>
            </w:pPr>
            <w:r w:rsidRPr="00812E04">
              <w:rPr>
                <w:rFonts w:asciiTheme="minorEastAsia" w:eastAsiaTheme="minorEastAsia" w:hAnsiTheme="minorEastAsia" w:hint="eastAsia"/>
                <w:sz w:val="16"/>
              </w:rPr>
              <w:lastRenderedPageBreak/>
              <w:t>地1b-Ⅳ-1解析自然環境與人文景觀的相互關係。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812E04" w:rsidRDefault="00A417A1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lastRenderedPageBreak/>
              <w:t>地Ba-Ⅳ-1自然環境的地區差異。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077" w:rsidRPr="00D24077" w:rsidRDefault="00D2407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24077" w:rsidRPr="00D24077" w:rsidRDefault="00D2407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552AA7" w:rsidRDefault="00D2407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D24077" w:rsidRDefault="00552AA7" w:rsidP="00425166">
            <w:pPr>
              <w:suppressAutoHyphens w:val="0"/>
              <w:jc w:val="both"/>
              <w:textAlignment w:val="auto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 w:rsidP="00425166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F964B7" w:rsidTr="00425166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pStyle w:val="1b"/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中國的自然環境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F964B7" w:rsidRPr="0052708D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地Ba-Ⅳ-1自然環境的地區差異。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154DA9">
              <w:rPr>
                <w:rFonts w:ascii="新細明體" w:hAnsi="新細明體" w:cs="新細明體" w:hint="eastAsia"/>
                <w:kern w:val="0"/>
                <w:sz w:val="16"/>
                <w:szCs w:val="24"/>
              </w:rPr>
              <w:t>4.學習單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中國的自然環境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812E04" w:rsidRP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F964B7" w:rsidRPr="0052708D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地Ba-Ⅳ-1自然環境的地區差異。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154DA9">
              <w:rPr>
                <w:rFonts w:ascii="新細明體" w:hAnsi="新細明體" w:cs="新細明體" w:hint="eastAsia"/>
                <w:kern w:val="0"/>
                <w:sz w:val="16"/>
                <w:szCs w:val="24"/>
              </w:rPr>
              <w:t>4.學習單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中國的人口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12E" w:rsidRP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65312E" w:rsidRPr="0052708D" w:rsidRDefault="00142D12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142D12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425166" w:rsidRDefault="00A417A1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地Ba-Ⅳ-2傳統維生方式與人口分布。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中國的人口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12E" w:rsidRP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  <w:p w:rsidR="00F964B7" w:rsidRPr="0052708D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地Ba-Ⅳ-3人口成長、人口遷移與文化擴散。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425166" w:rsidRDefault="00132B2D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社會領域歷史</w:t>
            </w:r>
          </w:p>
        </w:tc>
      </w:tr>
      <w:tr w:rsidR="00F964B7" w:rsidTr="00B05128">
        <w:trPr>
          <w:trHeight w:val="148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中國的人口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F964B7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  <w:p w:rsidR="0065312E" w:rsidRPr="0052708D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社2b-Ⅳ-1感受個人或不同群體在社會處境中的經歷與情緒，並了解其抉擇。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地Ba-Ⅳ-3人口成長、人口遷移與文化擴散。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【性別平等教育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  <w:p w:rsidR="005A21D6" w:rsidRDefault="005A21D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性J3檢視家庭、學校、職場中基於性別刻板印象產生的偏見與歧視。</w:t>
            </w:r>
          </w:p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【家庭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F964B7" w:rsidRPr="0052708D" w:rsidRDefault="00DB510B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家J2探討社會與自然環境對個人及家庭的影響。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9171E9" w:rsidRDefault="009171E9" w:rsidP="00425166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9171E9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社會領域公民</w:t>
            </w: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【第一次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複習第一篇</w:t>
            </w:r>
            <w:r w:rsidR="00F964B7"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第1-2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12E" w:rsidRP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65312E" w:rsidRP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65312E" w:rsidRPr="0065312E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F964B7" w:rsidRDefault="0065312E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65312E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465581" w:rsidRDefault="0046558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65581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地1b-Ⅳ-2歸納自然與人文環境互動的結果。</w:t>
            </w:r>
          </w:p>
          <w:p w:rsidR="00465581" w:rsidRDefault="0046558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65581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  <w:p w:rsidR="00465581" w:rsidRPr="00465581" w:rsidRDefault="0046558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65581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465581" w:rsidRPr="00465581" w:rsidRDefault="0046558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65581">
              <w:rPr>
                <w:rFonts w:asciiTheme="minorEastAsia" w:hAnsiTheme="minorEastAsia" w:hint="eastAsia"/>
                <w:sz w:val="16"/>
                <w:szCs w:val="16"/>
              </w:rPr>
              <w:t>社2b-Ⅳ-1感受個人或不同群體在社會處境中的經歷與情緒，並了解其抉擇。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A417A1" w:rsidP="00425166">
            <w:pPr>
              <w:snapToGrid w:val="0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lastRenderedPageBreak/>
              <w:t>地Ba-Ⅳ-1自然環境的地區差異。</w:t>
            </w:r>
          </w:p>
          <w:p w:rsidR="00A417A1" w:rsidRDefault="00A417A1" w:rsidP="00425166">
            <w:pPr>
              <w:snapToGrid w:val="0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地Ba-Ⅳ-2傳統維生方式與人口分布。</w:t>
            </w:r>
          </w:p>
          <w:p w:rsidR="00A417A1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eastAsiaTheme="minorEastAsia" w:hAnsiTheme="minorEastAsia" w:hint="eastAsia"/>
                <w:sz w:val="16"/>
              </w:rPr>
              <w:t>地Ba-Ⅳ-3人口成長、人口遷移與文化擴散。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中國的產業與經濟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75C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F964B7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A775C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EA775C" w:rsidRPr="00EA775C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EA775C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  <w:p w:rsidR="00EA775C" w:rsidRPr="0052708D" w:rsidRDefault="00EA775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A775C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地Bb-Ⅳ-1產業活動的轉型。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中國的產業與經濟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F964B7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地Bb-Ⅳ-1產業活動的轉型。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中國的產業與經濟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F964B7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7A1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地Bb-Ⅳ-2經濟發展的地區差異。</w:t>
            </w:r>
          </w:p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中國的經濟發展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與全球關聯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地Bb-Ⅳ-3經濟發展與全球關連。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中國的經濟發展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與全球關聯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地Bb-Ⅳ-3經濟發展與全球關連。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中國的經濟發展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與全球關聯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社1c-Ⅳ-1評估社會領域內容知識與多元觀點，並提出自己的看法。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  <w:p w:rsidR="00F964B7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7A1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地Bb-Ⅳ-3經濟發展與全球關連。</w:t>
            </w:r>
          </w:p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地Bb-Ⅳ-4問題探究：經濟發展與環境衝擊。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環境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F964B7" w:rsidRPr="0052708D" w:rsidRDefault="00DB510B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B510B">
              <w:rPr>
                <w:rFonts w:asciiTheme="minorEastAsia" w:hAnsiTheme="minorEastAsia" w:hint="eastAsia"/>
                <w:sz w:val="16"/>
                <w:szCs w:val="16"/>
              </w:rPr>
              <w:t>環J10了解天然災害對人類生活、生命、社會發展與經濟產業的衝擊。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E36882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620CF6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自然領域</w:t>
            </w: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【第二次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F964B7" w:rsidRPr="0052708D" w:rsidRDefault="00F964B7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</w:t>
            </w:r>
            <w:r w:rsidR="00DB3FCA" w:rsidRP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第一篇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-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  <w:p w:rsid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社1c-Ⅳ-1評估社會領域內容知識與多元觀點，並提出自己的看法。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E90FF5" w:rsidRPr="00E90FF5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  <w:p w:rsidR="00F964B7" w:rsidRPr="0052708D" w:rsidRDefault="00E90FF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7A1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地Bb-Ⅳ-1產業活動的轉型。</w:t>
            </w:r>
          </w:p>
          <w:p w:rsidR="00A417A1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地Bb-Ⅳ-2經濟發展的地區差異。</w:t>
            </w:r>
          </w:p>
          <w:p w:rsidR="00A417A1" w:rsidRPr="00A417A1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地Bb-Ⅳ-3經濟發展與全球關連。</w:t>
            </w:r>
          </w:p>
          <w:p w:rsidR="00F964B7" w:rsidRPr="0052708D" w:rsidRDefault="00A417A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417A1">
              <w:rPr>
                <w:rFonts w:asciiTheme="minorEastAsia" w:hAnsiTheme="minorEastAsia" w:hint="eastAsia"/>
                <w:sz w:val="16"/>
                <w:szCs w:val="16"/>
              </w:rPr>
              <w:t>地Bb-Ⅳ-4問題探究：經濟發展與環境衝擊。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1章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全球氣候概述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與氣候變遷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8B" w:rsidRDefault="00ED148B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4C146D" w:rsidRPr="0052708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D2180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674F31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1章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全球氣候概述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與氣候變遷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46D" w:rsidRDefault="004C146D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F964B7" w:rsidRDefault="004C146D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  <w:p w:rsidR="00ED148B" w:rsidRPr="0052708D" w:rsidRDefault="00ED148B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社</w:t>
            </w:r>
            <w:r w:rsidRPr="00ED148B">
              <w:rPr>
                <w:rFonts w:asciiTheme="minorEastAsia" w:hAnsiTheme="minorEastAsia"/>
                <w:sz w:val="16"/>
                <w:szCs w:val="16"/>
              </w:rPr>
              <w:t>2a-</w:t>
            </w: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Ⅳ</w:t>
            </w:r>
            <w:r w:rsidRPr="00ED148B">
              <w:rPr>
                <w:rFonts w:asciiTheme="minorEastAsia" w:hAnsiTheme="minorEastAsia"/>
                <w:sz w:val="16"/>
                <w:szCs w:val="16"/>
              </w:rPr>
              <w:t>-2</w:t>
            </w: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關注生活周遭的重要議題及其脈絡，發展本土意識與在地關懷。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1章</w:t>
            </w:r>
          </w:p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全球氣候概述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與氣候變遷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48B" w:rsidRPr="004C146D" w:rsidRDefault="00ED148B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ED148B" w:rsidRDefault="00ED148B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B42881" w:rsidRDefault="00B42881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B42881">
              <w:rPr>
                <w:rFonts w:asciiTheme="minorEastAsia" w:hAnsiTheme="minorEastAsia" w:hint="eastAsia"/>
                <w:sz w:val="16"/>
                <w:szCs w:val="16"/>
              </w:rPr>
              <w:t>社2a-Ⅳ-1敏銳察覺人與環境的互動關係及其淵源。</w:t>
            </w:r>
          </w:p>
          <w:p w:rsidR="00ED148B" w:rsidRDefault="00ED148B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  <w:p w:rsidR="00ED148B" w:rsidRPr="004C146D" w:rsidRDefault="00ED148B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社2c-Ⅳ-2珍視重要的公民價值並願意付諸行動。</w:t>
            </w:r>
          </w:p>
          <w:p w:rsidR="00F964B7" w:rsidRPr="0052708D" w:rsidRDefault="00ED148B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社2c-Ⅳ-3欣賞並願意維護自然與人文之美。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4C1" w:rsidRPr="00D21807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-Ⅳ-2全球氣候變遷的衝擊。</w:t>
            </w:r>
          </w:p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154DA9" w:rsidRPr="00154DA9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環境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F964B7" w:rsidRDefault="00E004BD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004BD">
              <w:rPr>
                <w:rFonts w:asciiTheme="minorEastAsia" w:hAnsiTheme="minorEastAsia" w:hint="eastAsia"/>
                <w:sz w:val="16"/>
                <w:szCs w:val="16"/>
              </w:rPr>
              <w:t>環J4了解永續發展的意義（環境、社會、與經濟的均衡發展）與原則。</w:t>
            </w:r>
          </w:p>
          <w:p w:rsidR="00E004BD" w:rsidRDefault="00E004BD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004BD">
              <w:rPr>
                <w:rFonts w:asciiTheme="minorEastAsia" w:hAnsiTheme="minorEastAsia" w:hint="eastAsia"/>
                <w:sz w:val="16"/>
                <w:szCs w:val="16"/>
              </w:rPr>
              <w:t>環J10了解天然災害對人類生活、生命、社會發展與經濟產業的衝擊。</w:t>
            </w:r>
          </w:p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品德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100FD5" w:rsidRPr="0052708D" w:rsidRDefault="00100FD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品J3關懷生活環境與環境生態永續發展。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620CF6" w:rsidRDefault="00620CF6" w:rsidP="00425166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620CF6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自然領域</w:t>
            </w: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大洋洲與兩極地區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5354D0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5354D0" w:rsidRDefault="005354D0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5354D0" w:rsidRPr="005354D0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5354D0" w:rsidRPr="005354D0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5354D0" w:rsidRPr="0052708D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674F31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大洋洲與兩極地區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5354D0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5354D0" w:rsidRDefault="005354D0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5354D0" w:rsidRPr="005354D0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5354D0" w:rsidRPr="005354D0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5354D0" w:rsidRPr="0052708D" w:rsidRDefault="005354D0" w:rsidP="005354D0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354D0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  <w:p w:rsidR="00A224C1" w:rsidRPr="0052708D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-Ⅳ-3區域發展與戰略競合。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國際</w:t>
            </w:r>
            <w:r w:rsidRPr="00812E04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F964B7" w:rsidRPr="0052708D" w:rsidRDefault="0021752A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國J3了解我國與全球議題之關聯性。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DB3FCA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2章</w:t>
            </w:r>
          </w:p>
          <w:p w:rsidR="00F964B7" w:rsidRPr="0052708D" w:rsidRDefault="00DB3FCA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大洋洲與兩極地區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4D0" w:rsidRDefault="005354D0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5354D0">
              <w:rPr>
                <w:rFonts w:asciiTheme="minorEastAsia" w:eastAsiaTheme="minorEastAsia" w:hAnsiTheme="minorEastAsia" w:hint="eastAsia"/>
                <w:sz w:val="16"/>
              </w:rPr>
              <w:t>地1a-Ⅳ-1說明重要地理現象分布特性的成因。</w:t>
            </w:r>
          </w:p>
          <w:p w:rsidR="005354D0" w:rsidRDefault="005354D0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5354D0">
              <w:rPr>
                <w:rFonts w:asciiTheme="minorEastAsia" w:eastAsiaTheme="minorEastAsia" w:hAnsiTheme="minorEastAsia" w:hint="eastAsia"/>
                <w:sz w:val="16"/>
              </w:rPr>
              <w:t>地1a-Ⅳ-2說明重要環境、經濟與文化</w:t>
            </w:r>
            <w:proofErr w:type="gramStart"/>
            <w:r w:rsidRPr="005354D0">
              <w:rPr>
                <w:rFonts w:asciiTheme="minorEastAsia" w:eastAsiaTheme="minorEastAsia" w:hAnsiTheme="minorEastAsia" w:hint="eastAsia"/>
                <w:sz w:val="16"/>
              </w:rPr>
              <w:t>議題間的相互</w:t>
            </w:r>
            <w:proofErr w:type="gramEnd"/>
            <w:r w:rsidRPr="005354D0">
              <w:rPr>
                <w:rFonts w:asciiTheme="minorEastAsia" w:eastAsiaTheme="minorEastAsia" w:hAnsiTheme="minorEastAsia" w:hint="eastAsia"/>
                <w:sz w:val="16"/>
              </w:rPr>
              <w:t>關係。</w:t>
            </w:r>
          </w:p>
          <w:p w:rsidR="00ED148B" w:rsidRDefault="005805DC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5805DC">
              <w:rPr>
                <w:rFonts w:asciiTheme="minorEastAsia" w:eastAsiaTheme="minorEastAsia" w:hAnsiTheme="minorEastAsia"/>
                <w:sz w:val="16"/>
              </w:rPr>
              <w:t>社2a-</w:t>
            </w:r>
            <w:r w:rsidRPr="005805DC">
              <w:rPr>
                <w:rFonts w:asciiTheme="minorEastAsia" w:eastAsiaTheme="minorEastAsia" w:hAnsiTheme="minorEastAsia"/>
                <w:kern w:val="0"/>
                <w:sz w:val="16"/>
              </w:rPr>
              <w:t>Ⅳ</w:t>
            </w:r>
            <w:r w:rsidRPr="005805DC">
              <w:rPr>
                <w:rFonts w:asciiTheme="minorEastAsia" w:eastAsiaTheme="minorEastAsia" w:hAnsiTheme="minorEastAsia"/>
                <w:sz w:val="16"/>
              </w:rPr>
              <w:t>-1敏銳察覺人與環境的互動關係及其淵源。</w:t>
            </w:r>
          </w:p>
          <w:p w:rsidR="005805DC" w:rsidRPr="005805DC" w:rsidRDefault="00ED148B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社</w:t>
            </w:r>
            <w:r w:rsidRPr="00ED148B">
              <w:rPr>
                <w:rFonts w:asciiTheme="minorEastAsia" w:hAnsiTheme="minorEastAsia"/>
                <w:sz w:val="16"/>
                <w:szCs w:val="16"/>
              </w:rPr>
              <w:t>2a-</w:t>
            </w: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Ⅳ</w:t>
            </w:r>
            <w:r w:rsidRPr="00ED148B">
              <w:rPr>
                <w:rFonts w:asciiTheme="minorEastAsia" w:hAnsiTheme="minorEastAsia"/>
                <w:sz w:val="16"/>
                <w:szCs w:val="16"/>
              </w:rPr>
              <w:t>-2</w:t>
            </w:r>
            <w:r w:rsidRPr="00ED148B">
              <w:rPr>
                <w:rFonts w:asciiTheme="minorEastAsia" w:hAnsiTheme="minorEastAsia" w:hint="eastAsia"/>
                <w:sz w:val="16"/>
                <w:szCs w:val="16"/>
              </w:rPr>
              <w:t>關注生活周遭的重要議題及其脈絡，發展本土意識與在地關懷。</w:t>
            </w:r>
          </w:p>
          <w:p w:rsidR="00F964B7" w:rsidRDefault="005805DC" w:rsidP="00425166">
            <w:pPr>
              <w:snapToGrid w:val="0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5805DC">
              <w:rPr>
                <w:rFonts w:asciiTheme="minorEastAsia" w:eastAsiaTheme="minorEastAsia" w:hAnsiTheme="minorEastAsia"/>
                <w:sz w:val="16"/>
              </w:rPr>
              <w:t>社2a-</w:t>
            </w:r>
            <w:r w:rsidRPr="005805DC">
              <w:rPr>
                <w:rFonts w:asciiTheme="minorEastAsia" w:eastAsiaTheme="minorEastAsia" w:hAnsiTheme="minorEastAsia"/>
                <w:kern w:val="0"/>
                <w:sz w:val="16"/>
              </w:rPr>
              <w:t>Ⅳ</w:t>
            </w:r>
            <w:r w:rsidRPr="005805DC">
              <w:rPr>
                <w:rFonts w:asciiTheme="minorEastAsia" w:eastAsiaTheme="minorEastAsia" w:hAnsiTheme="minorEastAsia"/>
                <w:sz w:val="16"/>
              </w:rPr>
              <w:t>-3關心不同的社會文化及其發展，並展現開闊的世界觀。</w:t>
            </w:r>
          </w:p>
          <w:p w:rsidR="005805DC" w:rsidRDefault="005805DC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5805DC">
              <w:rPr>
                <w:rFonts w:asciiTheme="minorEastAsia" w:hAnsiTheme="minorEastAsia" w:hint="eastAsia"/>
                <w:sz w:val="16"/>
                <w:szCs w:val="16"/>
              </w:rPr>
              <w:t>社2b-Ⅳ-2尊重不同群體文化的差異性，並欣賞其文化之美。</w:t>
            </w:r>
          </w:p>
          <w:p w:rsidR="00ED148B" w:rsidRPr="0052708D" w:rsidRDefault="00ED148B" w:rsidP="00ED148B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社2c-Ⅳ-1從歷史或社會事件中，省思自身或所屬群體的文化淵源、處境及自主性。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24C1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A224C1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  <w:p w:rsidR="00A224C1" w:rsidRPr="00D21807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-Ⅳ-3區域發展與戰略競合。</w:t>
            </w:r>
          </w:p>
          <w:p w:rsidR="00F964B7" w:rsidRPr="0052708D" w:rsidRDefault="00A224C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-Ⅳ-4問題探究：大洋洲與臺灣原住民族文化的連結。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52708D" w:rsidRDefault="00F964B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FCA" w:rsidRDefault="00F964B7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三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F964B7" w:rsidRPr="0052708D" w:rsidRDefault="00F964B7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複習第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二篇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 w:rsid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1-2章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社1a-Ⅳ-1發覺生活經驗或社會現象與社會領域內容知識的關係。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地1a-Ⅳ-1說明重要地理現象分布特性的成因。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地1a-Ⅳ-2說明重要環境、經濟與文化</w:t>
            </w:r>
            <w:proofErr w:type="gramStart"/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議題間的相互</w:t>
            </w:r>
            <w:proofErr w:type="gramEnd"/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關係。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社1b-Ⅳ-1應用社會領域內容知識解析生活經驗或社會現象。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地1b-Ⅳ-1解析自然環境與人文景觀的相互關係。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地1b-Ⅳ-2歸納自然與人文環境互動的結果。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社2a-Ⅳ-1敏銳察覺人與環境的互動關係及其淵源。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</w:t>
            </w:r>
            <w:r w:rsidRPr="004C146D">
              <w:rPr>
                <w:rFonts w:asciiTheme="minorEastAsia" w:hAnsiTheme="minorEastAsia"/>
                <w:sz w:val="16"/>
                <w:szCs w:val="16"/>
              </w:rPr>
              <w:t>2a-</w:t>
            </w: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Ⅳ</w:t>
            </w:r>
            <w:r w:rsidRPr="004C146D">
              <w:rPr>
                <w:rFonts w:asciiTheme="minorEastAsia" w:hAnsiTheme="minorEastAsia"/>
                <w:sz w:val="16"/>
                <w:szCs w:val="16"/>
              </w:rPr>
              <w:t>-2</w:t>
            </w: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關注生活周遭的重要議題及其脈絡，發展本土意識與在地關懷。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社2a-Ⅳ-3關心不同的社會文化及其發展，並展現開闊的世界觀。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社2b-Ⅳ-2尊重不同群體文化的差異性，並欣賞其文化之美。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社2c-Ⅳ-1從歷史或社會事件中，省思自身或所屬群體的文化淵源、處境及自主性。</w:t>
            </w:r>
          </w:p>
          <w:p w:rsidR="004C146D" w:rsidRPr="004C146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社2c-Ⅳ-2珍視重要的公民價值並願意付諸行動。</w:t>
            </w:r>
          </w:p>
          <w:p w:rsidR="00F964B7" w:rsidRPr="0052708D" w:rsidRDefault="004C146D" w:rsidP="004C146D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社2c-Ⅳ-3欣賞並願意維護自然與人文之美。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1807" w:rsidRPr="00D21807" w:rsidRDefault="00D2180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-Ⅳ-1自然環境與資源。</w:t>
            </w:r>
          </w:p>
          <w:p w:rsidR="00D21807" w:rsidRPr="00D21807" w:rsidRDefault="00D2180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-Ⅳ-2全球氣候變遷的衝擊。</w:t>
            </w:r>
          </w:p>
          <w:p w:rsidR="00D21807" w:rsidRPr="00D21807" w:rsidRDefault="00D2180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-Ⅳ-3區域發展與戰略競合。</w:t>
            </w:r>
          </w:p>
          <w:p w:rsidR="00F964B7" w:rsidRPr="0052708D" w:rsidRDefault="00D21807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Bc</w:t>
            </w:r>
            <w:proofErr w:type="spellEnd"/>
            <w:r w:rsidRPr="00D21807">
              <w:rPr>
                <w:rFonts w:asciiTheme="minorEastAsia" w:hAnsiTheme="minorEastAsia" w:hint="eastAsia"/>
                <w:sz w:val="16"/>
                <w:szCs w:val="16"/>
              </w:rPr>
              <w:t>-Ⅳ-4問題探究：大洋洲與臺灣原住民族文化的連結。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044FD8" w:rsidRDefault="00F964B7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 w:rsidP="00D60DC4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4268B5" w:rsidRDefault="004268B5" w:rsidP="0042516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東北亞的自然環境與文化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-Ⅳ-1自然環境背景。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35C1D" w:rsidRDefault="004268B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4268B5" w:rsidRPr="00D35C1D" w:rsidRDefault="004268B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4268B5" w:rsidRDefault="004268B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  <w:p w:rsidR="00154DA9" w:rsidRPr="0052708D" w:rsidRDefault="00154DA9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4268B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spacing w:line="396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pStyle w:val="1b"/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東北亞的自然環境與文化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-Ⅳ-1自然環境背景。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4268B5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center"/>
              <w:rPr>
                <w:rFonts w:ascii="PMingLiu" w:hAnsi="PMingLiu" w:hint="eastAsia"/>
                <w:color w:val="000000"/>
                <w:sz w:val="16"/>
                <w:szCs w:val="16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PMingLiu" w:hAnsi="PMingLiu" w:hint="eastAsia"/>
                <w:color w:val="000000"/>
                <w:sz w:val="16"/>
                <w:szCs w:val="16"/>
              </w:rPr>
              <w:t>東北亞的自然環境與文化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</w:t>
            </w: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lastRenderedPageBreak/>
              <w:t>驗或社會現象。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-Ⅳ-2產業與文化發展的特色。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lastRenderedPageBreak/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東北亞的經濟發展與挑戰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-Ⅳ-3東北亞經濟發展的成就與挑戰。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Pr="00674F31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東北亞的經濟發展與挑戰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-Ⅳ-3東北亞經濟發展的成就與挑戰。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Pr="00044FD8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812E0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【國際教育】</w:t>
            </w:r>
          </w:p>
          <w:p w:rsidR="004268B5" w:rsidRDefault="005A21D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國J4尊重與欣賞世界不同文化的價值。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東北亞的經濟發展與挑戰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760D53" w:rsidP="00425166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4DF" w:rsidRPr="00D034DF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-Ⅳ-3東北亞經濟發展的成就與挑戰。</w:t>
            </w:r>
          </w:p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-Ⅳ-4問題探究：臺灣與東北亞的文化交流。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Pr="00044FD8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812E0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【國際教育】</w:t>
            </w:r>
          </w:p>
          <w:p w:rsidR="004268B5" w:rsidRDefault="005A21D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國J4尊重與欣賞世界不同文化的價值。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【第一次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複習第一篇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第1-2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  <w:p w:rsidR="004268B5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650EBB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34DF" w:rsidRPr="00D034DF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-Ⅳ-1自然環境背景。</w:t>
            </w:r>
          </w:p>
          <w:p w:rsidR="00D034DF" w:rsidRPr="00D034DF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-Ⅳ-2產業與文化發展的特色。</w:t>
            </w:r>
          </w:p>
          <w:p w:rsidR="00D034DF" w:rsidRPr="00D034DF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-Ⅳ-3東北亞經濟發展的成就與挑戰。</w:t>
            </w:r>
          </w:p>
          <w:p w:rsidR="004268B5" w:rsidRPr="0052708D" w:rsidRDefault="00D034DF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地</w:t>
            </w:r>
            <w:proofErr w:type="spellStart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Bd</w:t>
            </w:r>
            <w:proofErr w:type="spellEnd"/>
            <w:r w:rsidRPr="00D034DF">
              <w:rPr>
                <w:rFonts w:asciiTheme="minorEastAsia" w:hAnsiTheme="minorEastAsia" w:hint="eastAsia"/>
                <w:sz w:val="16"/>
                <w:szCs w:val="16"/>
              </w:rPr>
              <w:t>-Ⅳ-4問題探究：臺灣與東北亞的文化交流。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044FD8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4268B5" w:rsidRPr="00B05128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034DF" w:rsidRDefault="00D66533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D66533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地Be-Ⅳ-1自然環境背景。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B05128">
        <w:trPr>
          <w:trHeight w:val="332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128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lastRenderedPageBreak/>
              <w:t>社1b-Ⅳ-1應用社會領域內容知識解析生活經驗或社會現象。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4268B5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B05128" w:rsidRDefault="00B05128" w:rsidP="00B0512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社2b-Ⅳ-2尊重不同群體文化的差異性，並欣賞其文化之美。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D034DF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lastRenderedPageBreak/>
              <w:t>地Be-Ⅳ-2多元文化的發展。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Pr="00044FD8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lastRenderedPageBreak/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2E04" w:rsidRDefault="00812E04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lastRenderedPageBreak/>
              <w:t>【人權</w:t>
            </w:r>
            <w:r w:rsidRPr="00812E0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651FA6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人J5了解社會上有不</w:t>
            </w:r>
            <w:r w:rsidRPr="00651FA6">
              <w:rPr>
                <w:rFonts w:asciiTheme="minorEastAsia" w:eastAsiaTheme="minorEastAsia" w:hAnsiTheme="minorEastAsia" w:hint="eastAsia"/>
                <w:color w:val="000000"/>
                <w:sz w:val="16"/>
              </w:rPr>
              <w:lastRenderedPageBreak/>
              <w:t>同的群體和文化，尊重並欣賞其差異。</w:t>
            </w:r>
          </w:p>
          <w:p w:rsidR="00812E04" w:rsidRPr="00812E04" w:rsidRDefault="00812E04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【多元文化</w:t>
            </w:r>
            <w:r w:rsidRPr="00812E0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4268B5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多J5了解及尊重不同文化的習俗與禁忌。</w:t>
            </w:r>
          </w:p>
          <w:p w:rsidR="00812E04" w:rsidRDefault="00812E04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812E04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【國際教育】</w:t>
            </w:r>
          </w:p>
          <w:p w:rsidR="0021752A" w:rsidRPr="00651FA6" w:rsidRDefault="0021752A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國J4尊重與欣賞世界不同文化的價值。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620CF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lastRenderedPageBreak/>
              <w:t>社會領域歷史</w:t>
            </w: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東南亞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B05128" w:rsidP="00425166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B05128" w:rsidRDefault="00B05128" w:rsidP="00B0512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D034DF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地Be-Ⅳ-3經濟發展與區域結盟。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Pr="00044FD8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4268B5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68B5" w:rsidRDefault="004268B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4268B5" w:rsidRPr="0052708D" w:rsidRDefault="004268B5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4268B5" w:rsidRDefault="00B05128" w:rsidP="00B0512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D034DF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地Be-Ⅳ-1自然環境背景。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4268B5" w:rsidRPr="00D24077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4268B5" w:rsidRDefault="004268B5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8B5" w:rsidRDefault="004268B5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128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651FA6" w:rsidRDefault="00B05128" w:rsidP="00B05128">
            <w:pPr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社2b-Ⅳ-2尊重不同群體文化的差異性，並欣賞其文化之美。</w:t>
            </w:r>
          </w:p>
          <w:p w:rsidR="00B05128" w:rsidRDefault="00B05128" w:rsidP="00B0512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05128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社2c-Ⅳ-1從歷史或社會事件中，省思自身或所屬群體的文化淵源、處境及自主性。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地Be-Ⅳ-2多元文化的發展。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651FA6" w:rsidRPr="00044FD8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性別平等</w:t>
            </w: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21752A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性J14認識社會中性別、種族與階級的權力結構關係。</w:t>
            </w:r>
          </w:p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【多元文化教育】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多J5了解及尊重不同文化的習俗與禁忌。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多J6分析不同群體的文化如何影響社會與生活方式。</w:t>
            </w:r>
          </w:p>
          <w:p w:rsidR="0021752A" w:rsidRPr="007065B1" w:rsidRDefault="005A21D6" w:rsidP="00425166">
            <w:pPr>
              <w:jc w:val="both"/>
              <w:rPr>
                <w:rFonts w:cs="Calibri"/>
                <w:color w:val="000000"/>
                <w:sz w:val="16"/>
                <w:szCs w:val="16"/>
              </w:rPr>
            </w:pPr>
            <w:r w:rsidRPr="005A21D6">
              <w:rPr>
                <w:rFonts w:asciiTheme="minorEastAsia" w:eastAsiaTheme="minorEastAsia" w:hAnsiTheme="minorEastAsia" w:cs="Calibri"/>
                <w:color w:val="000000"/>
                <w:sz w:val="16"/>
                <w:szCs w:val="16"/>
              </w:rPr>
              <w:t>多J8:</w:t>
            </w:r>
            <w:r>
              <w:rPr>
                <w:rFonts w:cs="Calibri"/>
                <w:color w:val="000000"/>
                <w:sz w:val="16"/>
                <w:szCs w:val="16"/>
              </w:rPr>
              <w:t>探討不同文化接觸時可能產生的衝突、融合或創新。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社會領域歷史</w:t>
            </w:r>
          </w:p>
        </w:tc>
      </w:tr>
      <w:tr w:rsidR="00651FA6" w:rsidTr="00B05128">
        <w:trPr>
          <w:trHeight w:val="12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章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南亞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B05128" w:rsidRPr="00760D53" w:rsidRDefault="00B05128" w:rsidP="00B05128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B05128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651FA6" w:rsidRDefault="00B05128" w:rsidP="00B05128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B05128" w:rsidRPr="00B05128" w:rsidRDefault="00B05128" w:rsidP="00B05128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地Be-Ⅳ-3經濟發展與區域結盟。</w:t>
            </w:r>
          </w:p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地Be-Ⅳ-4問題探究：東南亞和南亞新興市場與臺灣產業發展的關聯。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651FA6" w:rsidRPr="00044FD8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7065B1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環境</w:t>
            </w:r>
            <w:r w:rsidRPr="007065B1">
              <w:rPr>
                <w:rFonts w:asciiTheme="minorEastAsia" w:hAnsiTheme="minorEastAsia" w:hint="eastAsia"/>
                <w:sz w:val="16"/>
                <w:szCs w:val="16"/>
              </w:rPr>
              <w:t>教育】</w:t>
            </w:r>
          </w:p>
          <w:p w:rsidR="00651FA6" w:rsidRPr="00651FA6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004BD">
              <w:rPr>
                <w:rFonts w:asciiTheme="minorEastAsia" w:hAnsiTheme="minorEastAsia" w:hint="eastAsia"/>
                <w:sz w:val="16"/>
                <w:szCs w:val="16"/>
              </w:rPr>
              <w:t>環J10了解天然災害對人類生活、生命、社會發展與經濟產業的衝擊。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【第二次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</w:t>
            </w:r>
            <w:r w:rsidRPr="00DB3FCA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第一篇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-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  <w:p w:rsid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760D53" w:rsidRPr="00760D53" w:rsidRDefault="00760D53" w:rsidP="00760D53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651FA6" w:rsidRDefault="00760D53" w:rsidP="00760D53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760D53" w:rsidRDefault="00760D53" w:rsidP="00760D53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社2a-Ⅳ-3關心不同的社會文化及其發展，並展現開闊的世界觀。</w:t>
            </w:r>
          </w:p>
          <w:p w:rsidR="00760D53" w:rsidRPr="004C146D" w:rsidRDefault="00760D53" w:rsidP="00760D53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社2b-Ⅳ-2尊重不同群體文化的差異性，並欣賞其文化之美。</w:t>
            </w:r>
          </w:p>
          <w:p w:rsidR="00760D53" w:rsidRPr="004C146D" w:rsidRDefault="00760D53" w:rsidP="00760D53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社2b-Ⅳ-3重視環境倫理，並願意維護生態的多樣性。</w:t>
            </w:r>
          </w:p>
          <w:p w:rsidR="00760D53" w:rsidRPr="00B05128" w:rsidRDefault="00B05128" w:rsidP="00760D53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B05128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社2c-Ⅳ-1從歷史或社會事件中，省思自身或所屬群體的文化淵源、處境及自主性。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034DF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地Be-Ⅳ-1自然環境背景。</w:t>
            </w:r>
          </w:p>
          <w:p w:rsidR="00651FA6" w:rsidRPr="00D034DF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地Be-Ⅳ-2多元文化的發展。</w:t>
            </w:r>
          </w:p>
          <w:p w:rsidR="00651FA6" w:rsidRPr="00D034DF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地Be-Ⅳ-3經濟發展與區域結盟。</w:t>
            </w:r>
          </w:p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034DF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地Be-Ⅳ-4問題探究：東南亞和南亞新興市場與臺灣產業發展的關聯。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  <w:p w:rsidR="00651FA6" w:rsidRPr="00044FD8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5章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B42881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66533" w:rsidRDefault="00651FA6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D66533">
              <w:rPr>
                <w:rFonts w:asciiTheme="minorEastAsia" w:eastAsiaTheme="minorEastAsia" w:hAnsiTheme="minorEastAsia"/>
                <w:sz w:val="16"/>
              </w:rPr>
              <w:t>地Bf-Ⅳ-1</w:t>
            </w:r>
            <w:r w:rsidRPr="00D66533">
              <w:rPr>
                <w:rFonts w:asciiTheme="minorEastAsia" w:eastAsiaTheme="minorEastAsia" w:hAnsiTheme="minorEastAsia" w:hint="eastAsia"/>
                <w:sz w:val="16"/>
              </w:rPr>
              <w:t>自然環境與資源。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651FA6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154DA9" w:rsidRPr="00044FD8" w:rsidRDefault="00154DA9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4.</w:t>
            </w:r>
            <w:r>
              <w:rPr>
                <w:rFonts w:cs="Calibri" w:hint="eastAsia"/>
                <w:color w:val="000000"/>
                <w:kern w:val="0"/>
                <w:sz w:val="16"/>
                <w:szCs w:val="16"/>
              </w:rPr>
              <w:t>學習單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5章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2881" w:rsidRDefault="00B42881" w:rsidP="00B42881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B42881" w:rsidRPr="00760D53" w:rsidRDefault="00B42881" w:rsidP="00B42881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B42881" w:rsidRPr="00760D53" w:rsidRDefault="00B42881" w:rsidP="00B42881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651FA6" w:rsidRPr="00C60ACC" w:rsidRDefault="00B42881" w:rsidP="00B4288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C60ACC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66533">
              <w:rPr>
                <w:rFonts w:asciiTheme="minorEastAsia" w:eastAsiaTheme="minorEastAsia" w:hAnsiTheme="minorEastAsia"/>
                <w:sz w:val="16"/>
              </w:rPr>
              <w:t>地Bf-Ⅳ-1</w:t>
            </w:r>
            <w:r w:rsidRPr="00D66533">
              <w:rPr>
                <w:rFonts w:asciiTheme="minorEastAsia" w:eastAsiaTheme="minorEastAsia" w:hAnsiTheme="minorEastAsia" w:hint="eastAsia"/>
                <w:sz w:val="16"/>
              </w:rPr>
              <w:t>自然環境與資源。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651FA6" w:rsidRPr="00F964B7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5章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自然環境與文化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FB1F44" w:rsidP="00425166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FB1F44" w:rsidRPr="00FB1F44" w:rsidRDefault="00FB1F44" w:rsidP="00FB1F44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FB1F44" w:rsidRDefault="00FB1F44" w:rsidP="00425166">
            <w:pPr>
              <w:jc w:val="both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2a-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-3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關心不同的社會文化及其發展，並展現開闊的世界觀。</w:t>
            </w:r>
          </w:p>
          <w:p w:rsidR="00FB1F44" w:rsidRPr="00C60ACC" w:rsidRDefault="00FB1F44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2b-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-2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C60ACC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66533">
              <w:rPr>
                <w:rFonts w:asciiTheme="minorEastAsia" w:eastAsiaTheme="minorEastAsia" w:hAnsiTheme="minorEastAsia" w:hint="eastAsia"/>
                <w:sz w:val="16"/>
              </w:rPr>
              <w:t>地Bf-Ⅳ-2伊斯蘭文化的發展與特色。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651FA6" w:rsidRPr="00F964B7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人權</w:t>
            </w: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1A6580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人J5了解社會上有不同的群體和文化，尊重並欣賞其差異。</w:t>
            </w:r>
          </w:p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【多元文化教育】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多J5了解及尊重不同文化的習俗與禁忌。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多J6分析不同群體的文化如何影響社會與生活方式。</w:t>
            </w:r>
          </w:p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國際</w:t>
            </w: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21752A" w:rsidRPr="00651FA6" w:rsidRDefault="0021752A" w:rsidP="00425166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國J4尊重與欣賞世界不同文化的價值。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社會領域歷史</w:t>
            </w: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6章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衝突與轉變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F44" w:rsidRDefault="00FB1F44" w:rsidP="00425166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651FA6" w:rsidRDefault="00FB1F44" w:rsidP="00425166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FB1F44" w:rsidRDefault="00FB1F44" w:rsidP="00FB1F4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社1c-Ⅳ-1評估社會領域內容知識與多元觀點，並提出自己的看法。</w:t>
            </w:r>
          </w:p>
          <w:p w:rsidR="00FB1F44" w:rsidRPr="004C146D" w:rsidRDefault="00FB1F44" w:rsidP="00FB1F4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FB1F44" w:rsidRDefault="00FB1F44" w:rsidP="00FB1F44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FB1F44" w:rsidRDefault="00FB1F44" w:rsidP="00FB1F44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2a-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-3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關心不同的社會文化及其發展，並展現開闊的世界觀。</w:t>
            </w:r>
          </w:p>
          <w:p w:rsidR="00FB1F44" w:rsidRDefault="00FB1F44" w:rsidP="00FB1F44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2b-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感受個人或不同群體在社會處境中的經歷與情緒，並了解其抉擇。</w:t>
            </w:r>
          </w:p>
          <w:p w:rsidR="00FB1F44" w:rsidRPr="00C60ACC" w:rsidRDefault="00FB1F44" w:rsidP="00FB1F4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2c-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66533" w:rsidRDefault="00651FA6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D66533">
              <w:rPr>
                <w:rFonts w:asciiTheme="minorEastAsia" w:eastAsiaTheme="minorEastAsia" w:hAnsiTheme="minorEastAsia"/>
                <w:sz w:val="16"/>
              </w:rPr>
              <w:lastRenderedPageBreak/>
              <w:t>地Bf-Ⅳ-3</w:t>
            </w:r>
            <w:r w:rsidRPr="00D66533">
              <w:rPr>
                <w:rFonts w:asciiTheme="minorEastAsia" w:eastAsiaTheme="minorEastAsia" w:hAnsiTheme="minorEastAsia" w:hint="eastAsia"/>
                <w:sz w:val="16"/>
              </w:rPr>
              <w:t>國際衝突的焦點。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651FA6" w:rsidRPr="00044FD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651FA6" w:rsidRPr="00F964B7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044FD8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jc w:val="both"/>
              <w:rPr>
                <w:rFonts w:asciiTheme="minorEastAsia" w:eastAsiaTheme="minorEastAsia" w:hAnsiTheme="minorEastAsia" w:cs="Calibri"/>
                <w:color w:val="000000"/>
                <w:sz w:val="16"/>
                <w:szCs w:val="16"/>
              </w:rPr>
            </w:pPr>
            <w:r w:rsidRPr="007065B1">
              <w:rPr>
                <w:rFonts w:asciiTheme="minorEastAsia" w:eastAsiaTheme="minorEastAsia" w:hAnsiTheme="minorEastAsia" w:cs="Calibri" w:hint="eastAsia"/>
                <w:color w:val="000000"/>
                <w:sz w:val="16"/>
                <w:szCs w:val="16"/>
              </w:rPr>
              <w:t>【多元文化教育】</w:t>
            </w:r>
          </w:p>
          <w:p w:rsidR="00651FA6" w:rsidRPr="00B53071" w:rsidRDefault="005A21D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A21D6">
              <w:rPr>
                <w:rFonts w:asciiTheme="minorEastAsia" w:eastAsiaTheme="minorEastAsia" w:hAnsiTheme="minorEastAsia" w:cs="Calibri"/>
                <w:color w:val="000000"/>
                <w:sz w:val="16"/>
                <w:szCs w:val="16"/>
              </w:rPr>
              <w:t>多J8:探討不同文化接觸時</w:t>
            </w:r>
            <w:r>
              <w:rPr>
                <w:rFonts w:cs="Calibri"/>
                <w:color w:val="000000"/>
                <w:sz w:val="16"/>
                <w:szCs w:val="16"/>
              </w:rPr>
              <w:t>可能產生的衝突、融合或創新。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社會領域歷史</w:t>
            </w: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6章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衝突與轉變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F44" w:rsidRDefault="00FB1F44" w:rsidP="00FB1F44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FB1F44" w:rsidRDefault="00FB1F44" w:rsidP="00FB1F44">
            <w:pPr>
              <w:snapToGrid w:val="0"/>
              <w:spacing w:line="240" w:lineRule="atLeast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FB1F44" w:rsidRPr="00FB1F44" w:rsidRDefault="00FB1F44" w:rsidP="00FB1F44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FB1F44">
              <w:rPr>
                <w:rFonts w:asciiTheme="minorEastAsia" w:eastAsiaTheme="minorEastAsia" w:hAnsiTheme="minorEastAsia" w:hint="eastAsia"/>
                <w:sz w:val="16"/>
              </w:rPr>
              <w:t>社2a-Ⅳ-3關心不同的社會文化及其發展，並展現開闊的世界觀。</w:t>
            </w:r>
          </w:p>
          <w:p w:rsidR="00FB1F44" w:rsidRPr="00FB1F44" w:rsidRDefault="00FB1F44" w:rsidP="00FB1F44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FB1F44">
              <w:rPr>
                <w:rFonts w:asciiTheme="minorEastAsia" w:eastAsiaTheme="minorEastAsia" w:hAnsiTheme="minorEastAsia" w:hint="eastAsia"/>
                <w:sz w:val="16"/>
              </w:rPr>
              <w:t>社2b-Ⅳ-1感受個人或不同群體在社會處境中的經歷與情緒，並了解其抉擇。</w:t>
            </w:r>
          </w:p>
          <w:p w:rsidR="00FB1F44" w:rsidRDefault="00FB1F44" w:rsidP="00FB1F44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FB1F44">
              <w:rPr>
                <w:rFonts w:asciiTheme="minorEastAsia" w:eastAsiaTheme="minorEastAsia" w:hAnsiTheme="minorEastAsia" w:hint="eastAsia"/>
                <w:sz w:val="16"/>
              </w:rPr>
              <w:t>社2c-Ⅳ-1從歷史或社會事件中，省思自身或所屬群體的文化淵源、處境及自主性。</w:t>
            </w:r>
          </w:p>
          <w:p w:rsidR="008A414F" w:rsidRPr="008A414F" w:rsidRDefault="008A414F" w:rsidP="00425166">
            <w:pPr>
              <w:snapToGrid w:val="0"/>
              <w:spacing w:line="240" w:lineRule="atLeast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8A414F">
              <w:rPr>
                <w:rFonts w:asciiTheme="minorEastAsia" w:eastAsiaTheme="minorEastAsia" w:hAnsiTheme="minorEastAsia"/>
                <w:sz w:val="16"/>
              </w:rPr>
              <w:t>社3a-</w:t>
            </w:r>
            <w:r w:rsidRPr="008A414F">
              <w:rPr>
                <w:rFonts w:asciiTheme="minorEastAsia" w:eastAsiaTheme="minorEastAsia" w:hAnsiTheme="minorEastAsia"/>
                <w:kern w:val="0"/>
                <w:sz w:val="16"/>
              </w:rPr>
              <w:t>Ⅳ</w:t>
            </w:r>
            <w:r w:rsidRPr="008A414F">
              <w:rPr>
                <w:rFonts w:asciiTheme="minorEastAsia" w:eastAsiaTheme="minorEastAsia" w:hAnsiTheme="minorEastAsia"/>
                <w:sz w:val="16"/>
              </w:rPr>
              <w:t>-1</w:t>
            </w:r>
            <w:r w:rsidRPr="008A414F">
              <w:rPr>
                <w:rFonts w:asciiTheme="minorEastAsia" w:eastAsiaTheme="minorEastAsia" w:hAnsiTheme="minorEastAsia" w:hint="eastAsia"/>
                <w:sz w:val="16"/>
              </w:rPr>
              <w:t>發現不同時空脈絡中的人類生活問題，並進行探究。</w:t>
            </w:r>
          </w:p>
          <w:p w:rsidR="00651FA6" w:rsidRPr="00C60ACC" w:rsidRDefault="008A414F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8A414F">
              <w:rPr>
                <w:rFonts w:asciiTheme="minorEastAsia" w:eastAsiaTheme="minorEastAsia" w:hAnsiTheme="minorEastAsia"/>
                <w:sz w:val="16"/>
              </w:rPr>
              <w:t>社3b-</w:t>
            </w:r>
            <w:r w:rsidRPr="008A414F">
              <w:rPr>
                <w:rFonts w:asciiTheme="minorEastAsia" w:eastAsiaTheme="minorEastAsia" w:hAnsiTheme="minorEastAsia"/>
                <w:kern w:val="0"/>
                <w:sz w:val="16"/>
              </w:rPr>
              <w:t>Ⅳ</w:t>
            </w:r>
            <w:r w:rsidRPr="008A414F">
              <w:rPr>
                <w:rFonts w:asciiTheme="minorEastAsia" w:eastAsiaTheme="minorEastAsia" w:hAnsiTheme="minorEastAsia"/>
                <w:sz w:val="16"/>
              </w:rPr>
              <w:t>-1</w:t>
            </w:r>
            <w:r w:rsidRPr="008A414F">
              <w:rPr>
                <w:rFonts w:asciiTheme="minorEastAsia" w:eastAsiaTheme="minorEastAsia" w:hAnsiTheme="minorEastAsia" w:hint="eastAsia"/>
                <w:sz w:val="16"/>
              </w:rPr>
              <w:t>適當選用多種管道蒐集與社會領域相關的資料。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C60ACC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66533">
              <w:rPr>
                <w:rFonts w:asciiTheme="minorEastAsia" w:eastAsiaTheme="minorEastAsia" w:hAnsiTheme="minorEastAsia"/>
                <w:sz w:val="16"/>
              </w:rPr>
              <w:t>地Bf-Ⅳ-3</w:t>
            </w:r>
            <w:r w:rsidRPr="00D66533">
              <w:rPr>
                <w:rFonts w:asciiTheme="minorEastAsia" w:eastAsiaTheme="minorEastAsia" w:hAnsiTheme="minorEastAsia" w:hint="eastAsia"/>
                <w:sz w:val="16"/>
              </w:rPr>
              <w:t>國際衝突的焦點。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651FA6" w:rsidRPr="00044FD8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000000"/>
                <w:sz w:val="16"/>
              </w:rPr>
              <w:t>能源</w:t>
            </w:r>
            <w:r w:rsidRPr="007065B1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教育】</w:t>
            </w:r>
          </w:p>
          <w:p w:rsidR="00651FA6" w:rsidRPr="00100FD5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100FD5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能J5了解能源與經濟發展、環境之間相互的影響與關聯。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132B2D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社會領域歷史</w:t>
            </w:r>
          </w:p>
        </w:tc>
      </w:tr>
      <w:tr w:rsidR="00651FA6" w:rsidTr="00425166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6章</w:t>
            </w:r>
          </w:p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西亞與北非的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衝突與轉變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F44" w:rsidRDefault="00FB1F44" w:rsidP="00FB1F44">
            <w:pPr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FB1F44" w:rsidRDefault="00FB1F44" w:rsidP="00FB1F44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040041" w:rsidRDefault="00040041" w:rsidP="00FB1F44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040041">
              <w:rPr>
                <w:rFonts w:asciiTheme="minorEastAsia" w:eastAsiaTheme="minorEastAsia" w:hAnsiTheme="minorEastAsia" w:hint="eastAsia"/>
                <w:sz w:val="16"/>
              </w:rPr>
              <w:t>社1c-Ⅳ-1評估社會領域內容知識與多元觀點，並提出自己的看法。</w:t>
            </w:r>
          </w:p>
          <w:p w:rsidR="00040041" w:rsidRPr="00040041" w:rsidRDefault="00040041" w:rsidP="0004004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040041">
              <w:rPr>
                <w:rFonts w:asciiTheme="minorEastAsia" w:eastAsiaTheme="minorEastAsia" w:hAnsiTheme="minorEastAsia" w:hint="eastAsia"/>
                <w:sz w:val="16"/>
              </w:rPr>
              <w:t>社2a-Ⅳ-3關心不同的社會文化及其發展，並展現開闊的世界觀。</w:t>
            </w:r>
          </w:p>
          <w:p w:rsidR="00040041" w:rsidRPr="00040041" w:rsidRDefault="00040041" w:rsidP="0004004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040041">
              <w:rPr>
                <w:rFonts w:asciiTheme="minorEastAsia" w:eastAsiaTheme="minorEastAsia" w:hAnsiTheme="minorEastAsia" w:hint="eastAsia"/>
                <w:sz w:val="16"/>
              </w:rPr>
              <w:t>社2b-Ⅳ-1感受個人或不同群體在社會處境中的經歷與情緒，並了解其抉擇。</w:t>
            </w:r>
          </w:p>
          <w:p w:rsidR="00040041" w:rsidRPr="00040041" w:rsidRDefault="00040041" w:rsidP="0004004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040041">
              <w:rPr>
                <w:rFonts w:asciiTheme="minorEastAsia" w:eastAsiaTheme="minorEastAsia" w:hAnsiTheme="minorEastAsia" w:hint="eastAsia"/>
                <w:sz w:val="16"/>
              </w:rPr>
              <w:t>社2b-Ⅳ-2尊重不同群體文化的差異性，並欣賞其文化之美。</w:t>
            </w:r>
          </w:p>
          <w:p w:rsidR="00651FA6" w:rsidRPr="005805DC" w:rsidRDefault="005805DC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 w:cs="新細明體"/>
                <w:color w:val="000000"/>
                <w:kern w:val="0"/>
                <w:sz w:val="16"/>
                <w:szCs w:val="16"/>
              </w:rPr>
            </w:pPr>
            <w:r w:rsidRPr="005805DC">
              <w:rPr>
                <w:rFonts w:asciiTheme="minorEastAsia" w:eastAsiaTheme="minorEastAsia" w:hAnsiTheme="minorEastAsia"/>
                <w:sz w:val="16"/>
              </w:rPr>
              <w:t>社2c-</w:t>
            </w:r>
            <w:r w:rsidRPr="005805DC">
              <w:rPr>
                <w:rFonts w:asciiTheme="minorEastAsia" w:eastAsiaTheme="minorEastAsia" w:hAnsiTheme="minorEastAsia"/>
                <w:kern w:val="0"/>
                <w:sz w:val="16"/>
              </w:rPr>
              <w:t>Ⅳ</w:t>
            </w:r>
            <w:r w:rsidRPr="005805DC">
              <w:rPr>
                <w:rFonts w:asciiTheme="minorEastAsia" w:eastAsiaTheme="minorEastAsia" w:hAnsiTheme="minorEastAsia"/>
                <w:sz w:val="16"/>
              </w:rPr>
              <w:t>-1從歷史或社會事件中，省思自身或所屬群體的文化淵源、處境及自主性。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eastAsiaTheme="minorEastAsia" w:hAnsiTheme="minorEastAsia"/>
                <w:sz w:val="16"/>
              </w:rPr>
            </w:pPr>
            <w:r w:rsidRPr="00D66533">
              <w:rPr>
                <w:rFonts w:asciiTheme="minorEastAsia" w:eastAsiaTheme="minorEastAsia" w:hAnsiTheme="minorEastAsia" w:hint="eastAsia"/>
                <w:sz w:val="16"/>
              </w:rPr>
              <w:t>地Bf-Ⅳ-2伊斯蘭文化的發展與特色。</w:t>
            </w:r>
          </w:p>
          <w:p w:rsidR="00651FA6" w:rsidRPr="00C60ACC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D66533">
              <w:rPr>
                <w:rFonts w:asciiTheme="minorEastAsia" w:eastAsiaTheme="minorEastAsia" w:hAnsiTheme="minorEastAsia"/>
                <w:sz w:val="16"/>
              </w:rPr>
              <w:t>地Bf-Ⅳ-4</w:t>
            </w:r>
            <w:r w:rsidRPr="00D66533">
              <w:rPr>
                <w:rFonts w:asciiTheme="minorEastAsia" w:eastAsiaTheme="minorEastAsia" w:hAnsiTheme="minorEastAsia" w:hint="eastAsia"/>
                <w:sz w:val="16"/>
              </w:rPr>
              <w:t>問題探究：伊斯蘭文化與西方文化的互動。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651FA6" w:rsidRPr="00044FD8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sz w:val="16"/>
              </w:rPr>
              <w:t>【</w:t>
            </w:r>
            <w:r>
              <w:rPr>
                <w:rFonts w:asciiTheme="minorEastAsia" w:eastAsiaTheme="minorEastAsia" w:hAnsiTheme="minorEastAsia" w:hint="eastAsia"/>
                <w:sz w:val="16"/>
              </w:rPr>
              <w:t>性別平等</w:t>
            </w:r>
            <w:r w:rsidRPr="007065B1">
              <w:rPr>
                <w:rFonts w:asciiTheme="minorEastAsia" w:eastAsiaTheme="minorEastAsia" w:hAnsiTheme="minorEastAsia" w:hint="eastAsia"/>
                <w:sz w:val="16"/>
              </w:rPr>
              <w:t>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A6580">
              <w:rPr>
                <w:rFonts w:asciiTheme="minorEastAsia" w:eastAsiaTheme="minorEastAsia" w:hAnsiTheme="minorEastAsia" w:hint="eastAsia"/>
                <w:sz w:val="16"/>
              </w:rPr>
              <w:t>性J14</w:t>
            </w:r>
            <w:r w:rsidRPr="001A6580">
              <w:rPr>
                <w:rFonts w:asciiTheme="minorEastAsia" w:eastAsiaTheme="minorEastAsia" w:hAnsiTheme="minorEastAsia"/>
                <w:sz w:val="16"/>
              </w:rPr>
              <w:t>認識社會中性別、種族與階級的權力結構關係。</w:t>
            </w:r>
          </w:p>
          <w:p w:rsidR="007065B1" w:rsidRDefault="007065B1" w:rsidP="00425166">
            <w:pPr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7065B1">
              <w:rPr>
                <w:rFonts w:asciiTheme="minorEastAsia" w:eastAsiaTheme="minorEastAsia" w:hAnsiTheme="minorEastAsia" w:hint="eastAsia"/>
                <w:sz w:val="16"/>
              </w:rPr>
              <w:t>【多元文化教育】</w:t>
            </w:r>
          </w:p>
          <w:p w:rsidR="00651FA6" w:rsidRDefault="00651FA6" w:rsidP="00425166">
            <w:pPr>
              <w:jc w:val="both"/>
              <w:rPr>
                <w:rFonts w:asciiTheme="minorEastAsia" w:eastAsiaTheme="minorEastAsia" w:hAnsiTheme="minorEastAsia"/>
                <w:color w:val="000000"/>
                <w:sz w:val="16"/>
              </w:rPr>
            </w:pPr>
            <w:r w:rsidRPr="00651FA6">
              <w:rPr>
                <w:rFonts w:asciiTheme="minorEastAsia" w:eastAsiaTheme="minorEastAsia" w:hAnsiTheme="minorEastAsia" w:hint="eastAsia"/>
                <w:color w:val="000000"/>
                <w:sz w:val="16"/>
              </w:rPr>
              <w:t>多J6分析不同群體的文化如何影響社會與生活方式。</w:t>
            </w:r>
          </w:p>
          <w:p w:rsidR="005A21D6" w:rsidRPr="001A6580" w:rsidRDefault="005A21D6" w:rsidP="00425166">
            <w:pPr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多</w:t>
            </w:r>
            <w:r>
              <w:rPr>
                <w:rFonts w:cs="Calibri"/>
                <w:color w:val="000000"/>
                <w:sz w:val="16"/>
                <w:szCs w:val="16"/>
              </w:rPr>
              <w:t>J8:</w:t>
            </w:r>
            <w:r>
              <w:rPr>
                <w:rFonts w:cs="Calibri"/>
                <w:color w:val="000000"/>
                <w:sz w:val="16"/>
                <w:szCs w:val="16"/>
              </w:rPr>
              <w:t>探討不同文化接觸時可能產生的衝突、融合或創新。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</w:p>
        </w:tc>
      </w:tr>
      <w:tr w:rsidR="00651FA6" w:rsidTr="00425166">
        <w:trPr>
          <w:trHeight w:val="23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Default="00651FA6" w:rsidP="00425166">
            <w:pPr>
              <w:snapToGrid w:val="0"/>
              <w:jc w:val="center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三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</w:t>
            </w:r>
          </w:p>
          <w:p w:rsidR="00651FA6" w:rsidRPr="0052708D" w:rsidRDefault="00651FA6" w:rsidP="00425166">
            <w:pPr>
              <w:snapToGrid w:val="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複習第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一篇第5-6章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6F5" w:rsidRPr="00760D53" w:rsidRDefault="00AE26F5" w:rsidP="00AE26F5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社1a-Ⅳ-1發覺生活經驗或社會現象與社會領域內容知識的關係。</w:t>
            </w:r>
          </w:p>
          <w:p w:rsidR="00AE26F5" w:rsidRPr="00760D53" w:rsidRDefault="00AE26F5" w:rsidP="00AE26F5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地1a-Ⅳ-1說明重要地理現象分布特性的成因。</w:t>
            </w:r>
          </w:p>
          <w:p w:rsidR="00AE26F5" w:rsidRDefault="00AE26F5" w:rsidP="00AE26F5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地1a-Ⅳ-2說明重要環境、經濟與文化</w:t>
            </w:r>
            <w:proofErr w:type="gramStart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議題間</w:t>
            </w: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lastRenderedPageBreak/>
              <w:t>的相互</w:t>
            </w:r>
            <w:proofErr w:type="gramEnd"/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關係。</w:t>
            </w:r>
          </w:p>
          <w:p w:rsidR="00AE26F5" w:rsidRPr="00760D53" w:rsidRDefault="00AE26F5" w:rsidP="00AE26F5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社1b-Ⅳ-1應用社會領域內容知識解析生活經驗或社會現象。</w:t>
            </w:r>
          </w:p>
          <w:p w:rsidR="00AE26F5" w:rsidRPr="00760D53" w:rsidRDefault="00AE26F5" w:rsidP="00AE26F5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地1b-Ⅳ-1解析自然環境與人文景觀的相互關係。</w:t>
            </w:r>
          </w:p>
          <w:p w:rsidR="00651FA6" w:rsidRDefault="00AE26F5" w:rsidP="00AE26F5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760D53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地1b-Ⅳ-2歸納自然與人文環境互動的結果。</w:t>
            </w:r>
          </w:p>
          <w:p w:rsidR="00B42881" w:rsidRDefault="00B42881" w:rsidP="00B42881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E90FF5">
              <w:rPr>
                <w:rFonts w:asciiTheme="minorEastAsia" w:hAnsiTheme="minorEastAsia" w:hint="eastAsia"/>
                <w:sz w:val="16"/>
                <w:szCs w:val="16"/>
              </w:rPr>
              <w:t>社1c-Ⅳ-1評估社會領域內容知識與多元觀點，並提出自己的看法。</w:t>
            </w:r>
          </w:p>
          <w:p w:rsidR="00B42881" w:rsidRPr="004C146D" w:rsidRDefault="00B42881" w:rsidP="00B42881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地1c-Ⅳ-1利用地理基本概念與技能，檢視生活中面對的選擇與決策。</w:t>
            </w:r>
          </w:p>
          <w:p w:rsid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EastAsia" w:hAnsiTheme="minorEastAsia"/>
                <w:sz w:val="16"/>
                <w:szCs w:val="16"/>
              </w:rPr>
            </w:pPr>
            <w:r w:rsidRPr="004C146D">
              <w:rPr>
                <w:rFonts w:asciiTheme="minorEastAsia" w:hAnsiTheme="minorEastAsia" w:hint="eastAsia"/>
                <w:sz w:val="16"/>
                <w:szCs w:val="16"/>
              </w:rPr>
              <w:t>地1c-Ⅳ-2反思各種地理環境與議題的內涵，並提出相關意見。</w:t>
            </w:r>
          </w:p>
          <w:p w:rsid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2a-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-3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關心不同的社會文化及其發展，並展現開闊的世界觀。</w:t>
            </w:r>
          </w:p>
          <w:p w:rsid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2b-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感受個人或不同群體在社會處境中的經歷與情緒，並了解其抉擇。</w:t>
            </w:r>
          </w:p>
          <w:p w:rsid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2b-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-2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尊重不同群體文化的差異性，並欣賞其文化之美。</w:t>
            </w:r>
          </w:p>
          <w:p w:rsid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2c-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從歷史或社會事件中，省思自身或所屬群體的文化淵源、處境及自主性。</w:t>
            </w:r>
          </w:p>
          <w:p w:rsidR="00B42881" w:rsidRPr="00B42881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3a-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發現不同時空脈絡中的人類生活問題，並進行探究。</w:t>
            </w:r>
          </w:p>
          <w:p w:rsidR="00B42881" w:rsidRPr="00C60ACC" w:rsidRDefault="00B42881" w:rsidP="00B42881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社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3b-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B42881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適當選用多種管道蒐集與社會領域相關的資料。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66533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lastRenderedPageBreak/>
              <w:t>地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Bf-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-1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自然環境與資源。</w:t>
            </w:r>
          </w:p>
          <w:p w:rsidR="00651FA6" w:rsidRPr="00D66533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地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Bf-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-2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伊斯蘭文化的發展與特色。</w:t>
            </w:r>
          </w:p>
          <w:p w:rsidR="00651FA6" w:rsidRPr="00D66533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地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Bf-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-3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國際衝突的焦點。</w:t>
            </w:r>
          </w:p>
          <w:p w:rsidR="00651FA6" w:rsidRPr="00C60ACC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</w:pP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地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Bf-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Ⅳ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-4</w:t>
            </w:r>
            <w:r w:rsidRPr="00D66533">
              <w:rPr>
                <w:rFonts w:ascii="PMingLiu" w:hAnsi="PMingLiu" w:cs="新細明體" w:hint="eastAsia"/>
                <w:color w:val="000000"/>
                <w:kern w:val="0"/>
                <w:sz w:val="16"/>
                <w:szCs w:val="16"/>
              </w:rPr>
              <w:t>問題探究：伊斯蘭文化與西方文化的互動。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D24077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B53071" w:rsidRDefault="00651FA6" w:rsidP="00425166">
            <w:pPr>
              <w:widowControl/>
              <w:suppressAutoHyphens w:val="0"/>
              <w:autoSpaceDN/>
              <w:jc w:val="both"/>
              <w:textAlignment w:val="auto"/>
              <w:rPr>
                <w:rFonts w:cs="Calibri"/>
                <w:color w:val="000000"/>
                <w:kern w:val="0"/>
                <w:sz w:val="16"/>
                <w:szCs w:val="16"/>
              </w:rPr>
            </w:pPr>
          </w:p>
        </w:tc>
      </w:tr>
      <w:tr w:rsidR="00651FA6" w:rsidTr="00425166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1FA6" w:rsidRDefault="00651FA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:rsidR="00651FA6" w:rsidRDefault="00651FA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1FA6" w:rsidRPr="00CD5F2C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1.教學投影片</w:t>
            </w:r>
          </w:p>
          <w:p w:rsidR="00651FA6" w:rsidRPr="00CD5F2C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2.學習單</w:t>
            </w:r>
          </w:p>
          <w:p w:rsidR="00651FA6" w:rsidRPr="00CD5F2C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3.電腦</w:t>
            </w:r>
          </w:p>
          <w:p w:rsidR="00651FA6" w:rsidRPr="00CD5F2C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4.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電子白板</w:t>
            </w:r>
          </w:p>
          <w:p w:rsidR="00651FA6" w:rsidRPr="00AE4668" w:rsidRDefault="00651FA6" w:rsidP="00425166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5.影音資料與網路資源等相關教學媒體</w:t>
            </w:r>
          </w:p>
        </w:tc>
      </w:tr>
    </w:tbl>
    <w:p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1" w:name="_30j0zll"/>
      <w:bookmarkEnd w:id="1"/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712C7" w:rsidRPr="0039725A" w:rsidRDefault="004712C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GoBack"/>
      <w:bookmarkEnd w:id="2"/>
    </w:p>
    <w:sectPr w:rsidR="004712C7" w:rsidRPr="0039725A" w:rsidSect="00401920">
      <w:footerReference w:type="default" r:id="rId9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0F" w:rsidRDefault="00FF670F">
      <w:r>
        <w:separator/>
      </w:r>
    </w:p>
  </w:endnote>
  <w:endnote w:type="continuationSeparator" w:id="0">
    <w:p w:rsidR="00FF670F" w:rsidRDefault="00FF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F" w:rsidRDefault="008A414F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9725A">
      <w:rPr>
        <w:rFonts w:ascii="微軟正黑體" w:eastAsia="微軟正黑體" w:hAnsi="微軟正黑體"/>
        <w:noProof/>
        <w:lang w:val="zh-TW"/>
      </w:rPr>
      <w:t>10</w:t>
    </w:r>
    <w:r>
      <w:rPr>
        <w:rFonts w:ascii="微軟正黑體" w:eastAsia="微軟正黑體" w:hAnsi="微軟正黑體"/>
        <w:lang w:val="zh-TW"/>
      </w:rPr>
      <w:fldChar w:fldCharType="end"/>
    </w:r>
  </w:p>
  <w:p w:rsidR="008A414F" w:rsidRDefault="008A414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0F" w:rsidRDefault="00FF670F">
      <w:r>
        <w:rPr>
          <w:color w:val="000000"/>
        </w:rPr>
        <w:separator/>
      </w:r>
    </w:p>
  </w:footnote>
  <w:footnote w:type="continuationSeparator" w:id="0">
    <w:p w:rsidR="00FF670F" w:rsidRDefault="00FF6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40041"/>
    <w:rsid w:val="0004146E"/>
    <w:rsid w:val="0004421B"/>
    <w:rsid w:val="00044FD8"/>
    <w:rsid w:val="00080CB0"/>
    <w:rsid w:val="000B7630"/>
    <w:rsid w:val="00100FD5"/>
    <w:rsid w:val="00132B2D"/>
    <w:rsid w:val="00142D12"/>
    <w:rsid w:val="001512F8"/>
    <w:rsid w:val="00154DA9"/>
    <w:rsid w:val="001813CD"/>
    <w:rsid w:val="00193B8C"/>
    <w:rsid w:val="001A6580"/>
    <w:rsid w:val="001E0F91"/>
    <w:rsid w:val="0021752A"/>
    <w:rsid w:val="002958EA"/>
    <w:rsid w:val="002E3691"/>
    <w:rsid w:val="00376F93"/>
    <w:rsid w:val="00391445"/>
    <w:rsid w:val="0039725A"/>
    <w:rsid w:val="003B33C2"/>
    <w:rsid w:val="00401920"/>
    <w:rsid w:val="004154E3"/>
    <w:rsid w:val="00425166"/>
    <w:rsid w:val="004268B5"/>
    <w:rsid w:val="00452506"/>
    <w:rsid w:val="00455B3A"/>
    <w:rsid w:val="00465581"/>
    <w:rsid w:val="004712C7"/>
    <w:rsid w:val="004761BA"/>
    <w:rsid w:val="004B54CE"/>
    <w:rsid w:val="004C146D"/>
    <w:rsid w:val="00510997"/>
    <w:rsid w:val="005354D0"/>
    <w:rsid w:val="005433EC"/>
    <w:rsid w:val="00552AA7"/>
    <w:rsid w:val="005805DC"/>
    <w:rsid w:val="005A21D6"/>
    <w:rsid w:val="005A72FE"/>
    <w:rsid w:val="00620CF6"/>
    <w:rsid w:val="00651FA6"/>
    <w:rsid w:val="006521B8"/>
    <w:rsid w:val="0065312E"/>
    <w:rsid w:val="006534ED"/>
    <w:rsid w:val="0067077A"/>
    <w:rsid w:val="006738D6"/>
    <w:rsid w:val="00674F31"/>
    <w:rsid w:val="007065B1"/>
    <w:rsid w:val="00760D53"/>
    <w:rsid w:val="00793EE8"/>
    <w:rsid w:val="00812E04"/>
    <w:rsid w:val="008A414F"/>
    <w:rsid w:val="008A4446"/>
    <w:rsid w:val="00906F0A"/>
    <w:rsid w:val="009171E9"/>
    <w:rsid w:val="00941430"/>
    <w:rsid w:val="00974202"/>
    <w:rsid w:val="009C0C6C"/>
    <w:rsid w:val="00A224C1"/>
    <w:rsid w:val="00A417A1"/>
    <w:rsid w:val="00A534A1"/>
    <w:rsid w:val="00A8143C"/>
    <w:rsid w:val="00AA35FA"/>
    <w:rsid w:val="00AB0342"/>
    <w:rsid w:val="00AD2C61"/>
    <w:rsid w:val="00AE26F5"/>
    <w:rsid w:val="00AE2726"/>
    <w:rsid w:val="00AE4668"/>
    <w:rsid w:val="00AF7C18"/>
    <w:rsid w:val="00B05128"/>
    <w:rsid w:val="00B31863"/>
    <w:rsid w:val="00B42881"/>
    <w:rsid w:val="00B53071"/>
    <w:rsid w:val="00C023C6"/>
    <w:rsid w:val="00C118A8"/>
    <w:rsid w:val="00C5300E"/>
    <w:rsid w:val="00C60ACC"/>
    <w:rsid w:val="00C741D8"/>
    <w:rsid w:val="00CF6121"/>
    <w:rsid w:val="00D034DF"/>
    <w:rsid w:val="00D21807"/>
    <w:rsid w:val="00D23F16"/>
    <w:rsid w:val="00D24077"/>
    <w:rsid w:val="00D4297A"/>
    <w:rsid w:val="00D60DC4"/>
    <w:rsid w:val="00D66533"/>
    <w:rsid w:val="00D86197"/>
    <w:rsid w:val="00D956CE"/>
    <w:rsid w:val="00DB3FCA"/>
    <w:rsid w:val="00DB510B"/>
    <w:rsid w:val="00DF62DD"/>
    <w:rsid w:val="00DF6B3F"/>
    <w:rsid w:val="00E004BD"/>
    <w:rsid w:val="00E17363"/>
    <w:rsid w:val="00E36882"/>
    <w:rsid w:val="00E90FF5"/>
    <w:rsid w:val="00EA775C"/>
    <w:rsid w:val="00EC74FB"/>
    <w:rsid w:val="00ED148B"/>
    <w:rsid w:val="00F03DD8"/>
    <w:rsid w:val="00F964B7"/>
    <w:rsid w:val="00FB1F44"/>
    <w:rsid w:val="00FC2830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B42881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B42881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0558">
          <w:marLeft w:val="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B33E9-3DF3-4FE8-8348-46A0963E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11</Pages>
  <Words>1681</Words>
  <Characters>9587</Characters>
  <Application>Microsoft Office Word</Application>
  <DocSecurity>0</DocSecurity>
  <Lines>79</Lines>
  <Paragraphs>22</Paragraphs>
  <ScaleCrop>false</ScaleCrop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54</cp:revision>
  <cp:lastPrinted>2020-02-13T07:28:00Z</cp:lastPrinted>
  <dcterms:created xsi:type="dcterms:W3CDTF">2021-05-29T04:29:00Z</dcterms:created>
  <dcterms:modified xsi:type="dcterms:W3CDTF">2021-06-03T07:13:00Z</dcterms:modified>
</cp:coreProperties>
</file>